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43D47FE">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bookmarkStart w:id="10" w:name="_GoBack"/>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富含亮氨酸重复序列蛋白 15 (LRRC15)</w:t>
      </w:r>
    </w:p>
    <w:bookmarkEnd w:id="10"/>
    <w:p w14:paraId="6959E1A5">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货号：nrbe010</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检测围:10-1000pg/mL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0FE7339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ascii="汉仪仿宋简" w:hAnsi="汉仪仿宋简" w:eastAsia="汉仪仿宋简" w:cstheme="minorBidi"/>
          <w:b w:val="0"/>
          <w:bCs w:val="0"/>
          <w:kern w:val="2"/>
          <w:sz w:val="24"/>
          <w:szCs w:val="24"/>
          <w:lang w:val="en-US" w:eastAsia="zh-CN" w:bidi="ar-SA"/>
        </w:rPr>
      </w:pPr>
      <w:bookmarkStart w:id="0" w:name="_Toc21047"/>
      <w:r>
        <w:rPr>
          <w:rFonts w:hint="eastAsia"/>
          <w:sz w:val="24"/>
          <w:szCs w:val="24"/>
          <w:lang w:val="en-US" w:eastAsia="zh-CN"/>
        </w:rPr>
        <w:t>富含亮氨酸重复序列蛋白 15 (LRRC15)简介：</w:t>
      </w:r>
      <w:bookmarkEnd w:id="0"/>
      <w:bookmarkStart w:id="1" w:name="_Toc29361"/>
    </w:p>
    <w:p w14:paraId="4D68CA1C">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ascii="汉仪仿宋简" w:hAnsi="汉仪仿宋简" w:eastAsia="汉仪仿宋简" w:cstheme="minorBidi"/>
          <w:b w:val="0"/>
          <w:bCs w:val="0"/>
          <w:kern w:val="2"/>
          <w:sz w:val="24"/>
          <w:szCs w:val="24"/>
          <w:lang w:val="en-US" w:eastAsia="zh-CN" w:bidi="ar-SA"/>
        </w:rPr>
      </w:pPr>
      <w:r>
        <w:rPr>
          <w:rFonts w:hint="eastAsia" w:ascii="汉仪仿宋简" w:hAnsi="汉仪仿宋简" w:eastAsia="汉仪仿宋简" w:cstheme="minorBidi"/>
          <w:b w:val="0"/>
          <w:bCs w:val="0"/>
          <w:kern w:val="2"/>
          <w:sz w:val="24"/>
          <w:szCs w:val="24"/>
          <w:lang w:val="en-US" w:eastAsia="zh-CN" w:bidi="ar-SA"/>
        </w:rPr>
        <w:t>LRRC15 作为肿瘤微环境与纤维化进程的关键调控因子，其表达上调与成纤维细胞活化、细胞外基质重塑密切相关，是解析基质 - 肿瘤细胞交互作用的重要靶点。机制层面，LRRC15 通过胞外 LRR 结构域与 TGF-β 等细胞因子结合，激活 Smad 通路促进肌成纤维细胞分化，同时参与整合素介导的细胞黏附信号，调控成纤维细胞向病灶区募集。分子特征上，LRRC15 的 LRR 结构域为蛋白 - 蛋白相互作用提供结构基础，其跨膜区与胞内段可传递胞外信号，在组织纤维化模型中表现出基质沉积依赖性表达特征。生物学意义体现在其作为基质重塑 “分子开关”，参与胚胎发育的组织形态发生及病理状态下的纤维化进程。本试剂盒采用双抗夹心法 ELISA 技术，针对 LRRC15 蛋白设计特异性检测体系，检测范围覆盖 10-1000pg/mL，可精准定量细胞培养上清、组织匀浆及细胞裂解液中的目标蛋白。试剂盒通过预包被的抗 LRRC15 单克隆抗体捕获抗原，与 HRP 标记的检测抗体形成夹心复合物，经显色反应实现高特异性定量，交叉反应率 &lt; 3%，有效规避 LRR 家族其他成员干扰。试剂盒在纤维化模型中 LRRC15 与 TGF-β 通路的关联研究，通过定量其表达波动解析基质硬化机制；在肿瘤微环境研究，评估 LRRC15 在癌相关成纤维细胞活化中的调控作用；通过药物筛选体系，检测候选化合物对 LRRC15 表达的干预效果，为靶向基质重塑的干预策略提供量化依据。</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本试剂盒采用双抗夹心法酶联免疫吸附实验（Elisa）。往包被富含亮氨酸重复序列蛋白 15 (LRRC15)捕获抗体的酶标板中，依次加入待检样品、标准品、HRP标记的检测抗体，然后经过温育和洗涤，TMB显色，并在酸的作用下转化成最终的黄色。颜色的深浅和样品中的富含亮氨酸重复序列蛋白 15 (LRRC15)呈正相关。用酶标仪在450nm波长下测定吸光度（OD值），计算样品浓度。</w:t>
      </w:r>
    </w:p>
    <w:p w14:paraId="5703DC6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ascii="汉仪仿宋简" w:hAnsi="汉仪仿宋简" w:eastAsia="汉仪仿宋简" w:cstheme="minorBidi"/>
          <w:b/>
          <w:bCs/>
          <w:kern w:val="2"/>
          <w:sz w:val="24"/>
          <w:szCs w:val="24"/>
          <w:lang w:val="en-US" w:eastAsia="zh-CN" w:bidi="ar-SA"/>
        </w:rPr>
      </w:pPr>
      <w:r>
        <w:rPr>
          <w:rFonts w:hint="eastAsia"/>
          <w:b/>
          <w:bCs/>
          <w:sz w:val="24"/>
          <w:szCs w:val="24"/>
          <w:lang w:val="en-US" w:eastAsia="zh-CN"/>
        </w:rPr>
        <w:t>灵敏度：</w:t>
      </w:r>
      <w:r>
        <w:rPr>
          <w:rFonts w:hint="eastAsia" w:ascii="汉仪仿宋简" w:hAnsi="汉仪仿宋简" w:eastAsia="汉仪仿宋简" w:cstheme="minorBidi"/>
          <w:b/>
          <w:bCs/>
          <w:kern w:val="2"/>
          <w:sz w:val="24"/>
          <w:szCs w:val="24"/>
          <w:lang w:val="en-US" w:eastAsia="zh-CN" w:bidi="ar-SA"/>
        </w:rPr>
        <w:t>10-1000pg/mL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特异性：可检测样本中人的富含亮氨酸重复序列蛋白 15 (LRRC15)，与其类似物无明显的交叉反应。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0E2ABB9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752681A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1249A027">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427BB32D">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60262EF5">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hint="eastAsia"/>
          <w:sz w:val="24"/>
          <w:szCs w:val="24"/>
          <w:lang w:val="en-US" w:eastAsia="zh-CN"/>
        </w:rPr>
        <w:br w:type="page"/>
      </w:r>
    </w:p>
    <w:p w14:paraId="315BEC7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0EE580EB">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p>
    <w:p w14:paraId="4614AF6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8AE59BD">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B4BDA35">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E73E241">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w:t>
      </w:r>
      <w:r>
        <w:rPr>
          <w:rFonts w:hint="eastAsia"/>
          <w:sz w:val="24"/>
          <w:szCs w:val="24"/>
          <w:lang w:val="en-US" w:eastAsia="zh-CN"/>
        </w:rPr>
        <w:t>B-ALP</w:t>
      </w:r>
      <w:r>
        <w:rPr>
          <w:rFonts w:hint="eastAsia"/>
          <w:lang w:val="en-US" w:eastAsia="zh-CN"/>
        </w:rPr>
        <w:t>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w:t>
            </w:r>
          </w:p>
        </w:tc>
        <w:tc>
          <w:tcPr>
            <w:tcW w:w="2132" w:type="dxa"/>
            <w:vAlign w:val="center"/>
          </w:tcPr>
          <w:p w14:paraId="4D35B3E4">
            <w:pPr>
              <w:keepNext w:val="0"/>
              <w:keepLines w:val="0"/>
              <w:widowControl/>
              <w:suppressLineNumbers w:val="0"/>
              <w:wordWrap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wordWrap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101</w:t>
            </w:r>
          </w:p>
        </w:tc>
      </w:tr>
    </w:tbl>
    <w:p w14:paraId="1931498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BEF7E7-E064-48B7-B6DE-009E52266C2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09672C53-969B-43D6-A582-D0418C3F6893}"/>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1FD89C3B-05C3-4AA9-B3E5-DC350D8F5D2A}"/>
  </w:font>
  <w:font w:name="微软雅黑">
    <w:panose1 w:val="020B0503020204020204"/>
    <w:charset w:val="86"/>
    <w:family w:val="auto"/>
    <w:pitch w:val="default"/>
    <w:sig w:usb0="80000287" w:usb1="2ACF3C50" w:usb2="00000016" w:usb3="00000000" w:csb0="0004001F" w:csb1="00000000"/>
    <w:embedRegular r:id="rId4" w:fontKey="{B5CF68F9-3D66-4AB2-9567-FCB106876C07}"/>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8375A89"/>
    <w:rsid w:val="0A6071C9"/>
    <w:rsid w:val="0BE77549"/>
    <w:rsid w:val="13EE774E"/>
    <w:rsid w:val="16835F40"/>
    <w:rsid w:val="18DF05DB"/>
    <w:rsid w:val="19751DD4"/>
    <w:rsid w:val="1F896D6A"/>
    <w:rsid w:val="223E3E3C"/>
    <w:rsid w:val="224D407F"/>
    <w:rsid w:val="29005793"/>
    <w:rsid w:val="2C213C45"/>
    <w:rsid w:val="2CC1297B"/>
    <w:rsid w:val="2E0D0283"/>
    <w:rsid w:val="2EB060C2"/>
    <w:rsid w:val="2ED450D5"/>
    <w:rsid w:val="34FE2942"/>
    <w:rsid w:val="3EDF3E59"/>
    <w:rsid w:val="41AD023F"/>
    <w:rsid w:val="48D41268"/>
    <w:rsid w:val="4F7D74A2"/>
    <w:rsid w:val="526D56B7"/>
    <w:rsid w:val="534A5134"/>
    <w:rsid w:val="53F8619B"/>
    <w:rsid w:val="54610180"/>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1305</Words>
  <Characters>1481</Characters>
  <Lines>0</Lines>
  <Paragraphs>0</Paragraphs>
  <TotalTime>19</TotalTime>
  <ScaleCrop>false</ScaleCrop>
  <LinksUpToDate>false</LinksUpToDate>
  <CharactersWithSpaces>1497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2026-02-05T01:58:24Z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5BA7B12AB753405B930A2C9B5A6E6586_13</vt:lpwstr>
  </property>
  <property fmtid="{D5CDD505-2E9C-101B-9397-08002B2CF9AE}" pid="4" name="KSOTemplateDocerSaveRecord">
    <vt:lpwstr>eyJoZGlkIjoiNWVlNjFhN2ViMDkyMjU2YTRhYmFiNzNhM2VmOTdkODMiLCJ1c2VySWQiOiIyNzMwNDgzMDEifQ==</vt:lpwstr>
  </property>
</Properties>
</file>