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443D47FE">
      <w:pPr>
        <w:spacing w:before="283" w:line="240" w:lineRule="auto"/>
        <w:ind w:left="0" w:leftChars="0" w:firstLine="0" w:firstLineChars="0"/>
        <w:jc w:val="center"/>
        <w:rPr>
          <w:rFonts w:hint="eastAsia" w:ascii="等线" w:hAnsi="等线" w:eastAsia="等线" w:cs="等线"/>
          <w:b/>
          <w:bCs/>
          <w:color w:val="000000" w:themeColor="text1"/>
          <w:spacing w:val="7"/>
          <w:position w:val="4"/>
          <w:sz w:val="56"/>
          <w:szCs w:val="56"/>
          <w:lang w:eastAsia="zh-CN"/>
          <w14:textFill>
            <w14:solidFill>
              <w14:schemeClr w14:val="tx1"/>
            </w14:solidFill>
          </w14:textFill>
        </w:rPr>
      </w:pPr>
      <w:r>
        <w:rPr>
          <w:rFonts w:hint="eastAsia" w:ascii="等线" w:hAnsi="等线" w:eastAsia="等线" w:cs="等线"/>
          <w:b/>
          <w:bCs/>
          <w:color w:val="000000" w:themeColor="text1"/>
          <w:spacing w:val="7"/>
          <w:position w:val="4"/>
          <w:sz w:val="56"/>
          <w:szCs w:val="56"/>
          <w:lang w:eastAsia="zh-CN"/>
          <w14:textFill>
            <w14:solidFill>
              <w14:schemeClr w14:val="tx1"/>
            </w14:solidFill>
          </w14:textFill>
        </w:rPr>
        <w:t>紧密连接核心蛋白（CLDN-1）</w:t>
      </w:r>
    </w:p>
    <w:p w14:paraId="6959E1A5">
      <w:pPr>
        <w:spacing w:before="283" w:line="240" w:lineRule="auto"/>
        <w:ind w:left="0" w:leftChars="0" w:firstLine="0" w:firstLineChars="0"/>
        <w:jc w:val="center"/>
        <w:rPr>
          <w:rFonts w:hint="eastAsia" w:ascii="等线" w:hAnsi="等线" w:eastAsia="等线" w:cs="等线"/>
          <w:b/>
          <w:bCs/>
          <w:color w:val="000000" w:themeColor="text1"/>
          <w:spacing w:val="7"/>
          <w:position w:val="4"/>
          <w:sz w:val="56"/>
          <w:szCs w:val="56"/>
          <w14:textFill>
            <w14:solidFill>
              <w14:schemeClr w14:val="tx1"/>
            </w14:solidFill>
          </w14:textFill>
        </w:rPr>
      </w:pPr>
      <w:r>
        <w:rPr>
          <w:rFonts w:hint="eastAsia" w:ascii="等线" w:hAnsi="等线" w:eastAsia="等线" w:cs="等线"/>
          <w:b/>
          <w:bCs/>
          <w:color w:val="000000" w:themeColor="text1"/>
          <w:spacing w:val="7"/>
          <w:position w:val="4"/>
          <w:sz w:val="56"/>
          <w:szCs w:val="56"/>
          <w14:textFill>
            <w14:solidFill>
              <w14:schemeClr w14:val="tx1"/>
            </w14:solidFill>
          </w14:textFill>
        </w:rPr>
        <w:t>ELISA</w:t>
      </w:r>
      <w:r>
        <w:rPr>
          <w:rFonts w:hint="eastAsia" w:ascii="等线" w:hAnsi="等线" w:eastAsia="等线" w:cs="等线"/>
          <w:b/>
          <w:bCs/>
          <w:color w:val="000000" w:themeColor="text1"/>
          <w:spacing w:val="7"/>
          <w:position w:val="4"/>
          <w:sz w:val="56"/>
          <w:szCs w:val="56"/>
          <w:lang w:val="en-US" w:eastAsia="zh-CN"/>
          <w14:textFill>
            <w14:solidFill>
              <w14:schemeClr w14:val="tx1"/>
            </w14:solidFill>
          </w14:textFill>
        </w:rPr>
        <w:t>检测</w:t>
      </w:r>
      <w:r>
        <w:rPr>
          <w:rFonts w:hint="eastAsia" w:ascii="等线" w:hAnsi="等线" w:eastAsia="等线" w:cs="等线"/>
          <w:b/>
          <w:bCs/>
          <w:color w:val="000000" w:themeColor="text1"/>
          <w:spacing w:val="7"/>
          <w:position w:val="4"/>
          <w:sz w:val="56"/>
          <w:szCs w:val="56"/>
          <w14:textFill>
            <w14:solidFill>
              <w14:schemeClr w14:val="tx1"/>
            </w14:solidFill>
          </w14:textFill>
        </w:rPr>
        <w:t>试剂盒</w:t>
      </w:r>
    </w:p>
    <w:p w14:paraId="1445BFA9">
      <w:pPr>
        <w:spacing w:before="283" w:line="240" w:lineRule="auto"/>
        <w:jc w:val="center"/>
        <w:rPr>
          <w:rFonts w:hint="eastAsia" w:ascii="等线" w:hAnsi="等线" w:eastAsia="等线" w:cs="等线"/>
          <w:b/>
          <w:bCs/>
          <w:color w:val="000000" w:themeColor="text1"/>
          <w:spacing w:val="7"/>
          <w:position w:val="4"/>
          <w:sz w:val="48"/>
          <w:szCs w:val="48"/>
          <w14:textFill>
            <w14:solidFill>
              <w14:schemeClr w14:val="tx1"/>
            </w14:solidFill>
          </w14:textFill>
        </w:rPr>
      </w:pPr>
    </w:p>
    <w:p w14:paraId="1686C0E8">
      <w:pPr>
        <w:spacing w:before="283" w:line="240" w:lineRule="auto"/>
        <w:jc w:val="center"/>
        <w:rPr>
          <w:rFonts w:hint="eastAsia" w:ascii="等线" w:hAnsi="等线" w:eastAsia="等线" w:cs="等线"/>
          <w:b/>
          <w:bCs/>
          <w:color w:val="000000" w:themeColor="text1"/>
          <w:spacing w:val="7"/>
          <w:position w:val="4"/>
          <w:sz w:val="48"/>
          <w:szCs w:val="48"/>
          <w14:textFill>
            <w14:solidFill>
              <w14:schemeClr w14:val="tx1"/>
            </w14:solidFill>
          </w14:textFill>
        </w:rPr>
      </w:pPr>
    </w:p>
    <w:p w14:paraId="5A63581A">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使</w:t>
      </w:r>
    </w:p>
    <w:p w14:paraId="4E09114E">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用</w:t>
      </w:r>
    </w:p>
    <w:p w14:paraId="01A8C895">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说</w:t>
      </w:r>
    </w:p>
    <w:p w14:paraId="32DB8228">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明</w:t>
      </w:r>
    </w:p>
    <w:p w14:paraId="2E3B7C8D">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书</w:t>
      </w:r>
    </w:p>
    <w:p w14:paraId="084048E4">
      <w:pPr>
        <w:spacing w:before="283" w:line="210" w:lineRule="auto"/>
        <w:jc w:val="center"/>
        <w:rPr>
          <w:rFonts w:hint="default" w:ascii="等线" w:hAnsi="等线" w:eastAsia="等线" w:cs="等线"/>
          <w:b/>
          <w:bCs/>
          <w:color w:val="000000" w:themeColor="text1"/>
          <w:spacing w:val="7"/>
          <w:position w:val="4"/>
          <w:sz w:val="31"/>
          <w:szCs w:val="31"/>
          <w:lang w:val="en-US" w:eastAsia="zh-CN"/>
          <w14:textFill>
            <w14:solidFill>
              <w14:schemeClr w14:val="tx1"/>
            </w14:solidFill>
          </w14:textFill>
        </w:rPr>
      </w:pPr>
    </w:p>
    <w:p w14:paraId="5842C7D0">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p w14:paraId="12FD1116">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tbl>
      <w:tblPr>
        <w:tblStyle w:val="89"/>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7"/>
        <w:gridCol w:w="4842"/>
      </w:tblGrid>
      <w:tr w14:paraId="02E8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10525F1B">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货号：nrbe013</w:t>
            </w:r>
          </w:p>
        </w:tc>
        <w:tc>
          <w:tcPr>
            <w:tcW w:w="4842" w:type="dxa"/>
            <w:tcBorders>
              <w:top w:val="nil"/>
              <w:left w:val="nil"/>
              <w:bottom w:val="nil"/>
              <w:right w:val="nil"/>
            </w:tcBorders>
          </w:tcPr>
          <w:p w14:paraId="6A343CD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检测围:10-1000</w:t>
            </w:r>
            <w:bookmarkStart w:id="10" w:name="_GoBack"/>
            <w:bookmarkEnd w:id="10"/>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pg/mL</w:t>
            </w:r>
          </w:p>
        </w:tc>
      </w:tr>
      <w:tr w14:paraId="6713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5614002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规格：96T/48T</w:t>
            </w:r>
          </w:p>
        </w:tc>
        <w:tc>
          <w:tcPr>
            <w:tcW w:w="4842" w:type="dxa"/>
            <w:tcBorders>
              <w:top w:val="nil"/>
              <w:left w:val="nil"/>
              <w:bottom w:val="nil"/>
              <w:right w:val="nil"/>
            </w:tcBorders>
          </w:tcPr>
          <w:p w14:paraId="43929EA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保存温度：2-8℃</w:t>
            </w:r>
          </w:p>
        </w:tc>
      </w:tr>
      <w:tr w14:paraId="70AC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2BFBE96A">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种属反应：人</w:t>
            </w:r>
          </w:p>
        </w:tc>
        <w:tc>
          <w:tcPr>
            <w:tcW w:w="4842" w:type="dxa"/>
            <w:tcBorders>
              <w:top w:val="nil"/>
              <w:left w:val="nil"/>
              <w:bottom w:val="nil"/>
              <w:right w:val="nil"/>
            </w:tcBorders>
          </w:tcPr>
          <w:p w14:paraId="7752F99F">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有效期：6个月</w:t>
            </w:r>
          </w:p>
        </w:tc>
      </w:tr>
    </w:tbl>
    <w:p w14:paraId="30CE81DC">
      <w:pPr>
        <w:spacing w:before="283" w:line="210" w:lineRule="auto"/>
        <w:jc w:val="cente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pPr>
    </w:p>
    <w:p w14:paraId="5C10784E">
      <w:pPr>
        <w:spacing w:before="283" w:line="210" w:lineRule="auto"/>
        <w:jc w:val="center"/>
        <w:rPr>
          <w:rFonts w:hint="default" w:ascii="等线" w:hAnsi="等线" w:eastAsia="等线" w:cs="等线"/>
          <w:b/>
          <w:bCs/>
          <w:color w:val="000000" w:themeColor="text1"/>
          <w:spacing w:val="7"/>
          <w:position w:val="4"/>
          <w:sz w:val="22"/>
          <w:szCs w:val="22"/>
          <w:lang w:val="en-US" w:eastAsia="zh-CN"/>
          <w14:textFill>
            <w14:solidFill>
              <w14:schemeClr w14:val="tx1"/>
            </w14:solidFill>
          </w14:textFill>
        </w:rPr>
      </w:pPr>
      <w: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t>本试剂盒仅供体外研究使用，不用于临床诊断</w:t>
      </w:r>
    </w:p>
    <w:p w14:paraId="4B827CC4">
      <w:pPr>
        <w:rPr>
          <w:rFonts w:ascii="Arial" w:hAnsi="汉仪仿宋简" w:eastAsia="宋体" w:cstheme="minorBidi"/>
          <w:kern w:val="2"/>
          <w:sz w:val="28"/>
          <w:szCs w:val="24"/>
          <w:lang w:val="en-US" w:eastAsia="zh-CN" w:bidi="ar-SA"/>
        </w:rPr>
      </w:pPr>
      <w:r>
        <w:rPr>
          <w:rFonts w:ascii="Arial"/>
          <w:sz w:val="21"/>
        </w:rPr>
        <w:br w:type="page"/>
      </w:r>
    </w:p>
    <w:p w14:paraId="0FE7339D">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jc w:val="left"/>
        <w:rPr>
          <w:rFonts w:hint="eastAsia" w:ascii="汉仪仿宋简" w:hAnsi="汉仪仿宋简" w:eastAsia="汉仪仿宋简" w:cstheme="minorBidi"/>
          <w:b w:val="0"/>
          <w:bCs w:val="0"/>
          <w:kern w:val="2"/>
          <w:sz w:val="24"/>
          <w:szCs w:val="24"/>
          <w:lang w:val="en-US" w:eastAsia="zh-CN" w:bidi="ar-SA"/>
        </w:rPr>
      </w:pPr>
      <w:bookmarkStart w:id="0" w:name="_Toc21047"/>
      <w:r>
        <w:rPr>
          <w:rFonts w:hint="eastAsia"/>
          <w:sz w:val="24"/>
          <w:szCs w:val="24"/>
          <w:lang w:val="en-US" w:eastAsia="zh-CN"/>
        </w:rPr>
        <w:t>紧密连接核心蛋白（CLDN-1）简介：</w:t>
      </w:r>
      <w:bookmarkEnd w:id="0"/>
      <w:bookmarkStart w:id="1" w:name="_Toc29361"/>
    </w:p>
    <w:p w14:paraId="6E88A59E">
      <w:pPr>
        <w:pStyle w:val="4"/>
        <w:keepNext w:val="0"/>
        <w:keepLines w:val="0"/>
        <w:pageBreakBefore w:val="0"/>
        <w:numPr>
          <w:numId w:val="0"/>
        </w:numPr>
        <w:kinsoku/>
        <w:wordWrap/>
        <w:overflowPunct/>
        <w:topLinePunct w:val="0"/>
        <w:autoSpaceDE/>
        <w:autoSpaceDN/>
        <w:bidi w:val="0"/>
        <w:adjustRightInd w:val="0"/>
        <w:snapToGrid w:val="0"/>
        <w:spacing w:line="300" w:lineRule="exact"/>
        <w:ind w:firstLine="480" w:firstLineChars="200"/>
        <w:jc w:val="left"/>
        <w:rPr>
          <w:rFonts w:hint="eastAsia" w:ascii="汉仪仿宋简" w:hAnsi="汉仪仿宋简" w:eastAsia="汉仪仿宋简" w:cstheme="minorBidi"/>
          <w:b w:val="0"/>
          <w:bCs w:val="0"/>
          <w:kern w:val="2"/>
          <w:sz w:val="24"/>
          <w:szCs w:val="24"/>
          <w:lang w:val="en-US" w:eastAsia="zh-CN" w:bidi="ar-SA"/>
        </w:rPr>
      </w:pPr>
      <w:r>
        <w:rPr>
          <w:rFonts w:hint="eastAsia" w:ascii="汉仪仿宋简" w:hAnsi="汉仪仿宋简" w:eastAsia="汉仪仿宋简" w:cstheme="minorBidi"/>
          <w:b w:val="0"/>
          <w:bCs w:val="0"/>
          <w:kern w:val="2"/>
          <w:sz w:val="24"/>
          <w:szCs w:val="24"/>
          <w:lang w:val="en-US" w:eastAsia="zh-CN" w:bidi="ar-SA"/>
        </w:rPr>
        <w:t>CLDN-1（Claudin-1）是紧密连接（TJ）核心蛋白，在维持上皮 / 内皮细胞屏障功能中起关键作用。其异常表达与纤维化、肿瘤侵袭等病理过程密切相关。在纤维化模型中，非连接性 CLDN-1（njCLDN-1）通过激活 SRC/MAPK 信号通路驱动胶原蛋白沉积；在肿瘤研究中，CLDN-1 缺失可诱导上皮 - 间质转化（EMT），增强癌细胞迁移能力。本试剂盒可用于探究 CLDN-1 在细胞间连接动态调控中的分子机制，例如通过检测不同处理条件下 CLDN-1 的表达变化，解析其与 TJ 组装 / 解离的关联。本试剂盒采用双抗夹心法 ELISA 技术，专为科研场景设计，可定量检测人源样本中 CLDN-1 蛋白浓度，检测范围为 10-1000 pg/mL。试剂盒包含预包被 CLDN-1 特异性捕获抗体的微孔板、酶标检测抗体、标准品及配套试剂，具有高灵敏度（最低检测限 &lt; 5 pg/mL）和高特异性（与 CLDN 家族其他成员交叉反应率 &lt; 0.5%），适用于细胞培养上清、组织匀浆、血清 / 血浆等多种科研样本类型。试剂盒支持基础生物学研究与药物开发前期探索：病理机制研究：在肝纤维化模型中，可定量分析 njCLDN-1 水平与纤维化程度的相关性，揭示其作为促纤维化信号枢纽的作用；信号通路解析：通过抑制剂处理实验，验证 CLDN-1 与 EGFR/ITGA5 等跨膜蛋白的相互作用对下游通路的激活机制；药物靶点筛选：在肿瘤细胞系中评估候选化合物对 CLDN-1 表达的调控效果，为抗转移药物研发提供数据支持。</w:t>
      </w:r>
    </w:p>
    <w:p w14:paraId="1B518D78">
      <w:pPr>
        <w:pStyle w:val="4"/>
        <w:keepNext w:val="0"/>
        <w:keepLines w:val="0"/>
        <w:pageBreakBefore w:val="0"/>
        <w:numPr>
          <w:ilvl w:val="1"/>
          <w:numId w:val="0"/>
        </w:numPr>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实验原理：</w:t>
      </w:r>
      <w:bookmarkEnd w:id="1"/>
    </w:p>
    <w:p w14:paraId="0BB5E801">
      <w:pPr>
        <w:keepNext w:val="0"/>
        <w:keepLines w:val="0"/>
        <w:pageBreakBefore w:val="0"/>
        <w:kinsoku/>
        <w:wordWrap/>
        <w:overflowPunct/>
        <w:topLinePunct w:val="0"/>
        <w:autoSpaceDE/>
        <w:autoSpaceDN/>
        <w:bidi w:val="0"/>
        <w:adjustRightInd w:val="0"/>
        <w:snapToGrid w:val="0"/>
        <w:spacing w:line="300" w:lineRule="exact"/>
        <w:ind w:left="0" w:leftChars="0" w:firstLine="480" w:firstLineChars="200"/>
        <w:rPr>
          <w:rFonts w:hint="eastAsia"/>
          <w:sz w:val="24"/>
          <w:szCs w:val="24"/>
          <w:lang w:val="en-US" w:eastAsia="zh-CN"/>
        </w:rPr>
      </w:pPr>
      <w:r>
        <w:rPr>
          <w:rFonts w:hint="eastAsia"/>
          <w:sz w:val="24"/>
          <w:szCs w:val="24"/>
          <w:lang w:val="en-US" w:eastAsia="zh-CN"/>
        </w:rPr>
        <w:t>本试剂盒采用双抗夹心法酶联免疫吸附实验（Elisa）。往包被紧密连接核心蛋白（CLDN-1）捕获抗体的酶标板中，依次加入待检样品、标准品、HRP标记的检测抗体，然后经过温育和洗涤，TMB显色，并在酸的作用下转化成最终的黄色。颜色的深浅和样品中的紧密连接核心蛋白（CLDN-1）呈正相关。用酶标仪在450nm波长下测定吸光度（OD值），计算样品浓度。</w:t>
      </w:r>
    </w:p>
    <w:p w14:paraId="5703DC66">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ascii="汉仪仿宋简" w:hAnsi="汉仪仿宋简" w:eastAsia="汉仪仿宋简" w:cstheme="minorBidi"/>
          <w:b/>
          <w:bCs/>
          <w:kern w:val="2"/>
          <w:sz w:val="24"/>
          <w:szCs w:val="24"/>
          <w:lang w:val="en-US" w:eastAsia="zh-CN" w:bidi="ar-SA"/>
        </w:rPr>
      </w:pPr>
      <w:r>
        <w:rPr>
          <w:rFonts w:hint="eastAsia"/>
          <w:b/>
          <w:bCs/>
          <w:sz w:val="24"/>
          <w:szCs w:val="24"/>
          <w:lang w:val="en-US" w:eastAsia="zh-CN"/>
        </w:rPr>
        <w:t>灵敏度：</w:t>
      </w:r>
      <w:r>
        <w:rPr>
          <w:rFonts w:hint="eastAsia" w:ascii="汉仪仿宋简" w:hAnsi="汉仪仿宋简" w:eastAsia="汉仪仿宋简" w:cstheme="minorBidi"/>
          <w:b/>
          <w:bCs/>
          <w:kern w:val="2"/>
          <w:sz w:val="24"/>
          <w:szCs w:val="24"/>
          <w:lang w:val="en-US" w:eastAsia="zh-CN" w:bidi="ar-SA"/>
        </w:rPr>
        <w:t>10-1000pg/mL</w:t>
      </w:r>
    </w:p>
    <w:p w14:paraId="78E3E305">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特异性：可检测样本中人的紧密连接核心蛋白（CLDN-1），与其类似物无明显的交叉反应。</w:t>
      </w:r>
    </w:p>
    <w:p w14:paraId="35FFC8F7">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2" w:name="_Toc25235"/>
      <w:r>
        <w:rPr>
          <w:rFonts w:hint="eastAsia"/>
          <w:sz w:val="24"/>
          <w:szCs w:val="24"/>
          <w:lang w:val="en-US" w:eastAsia="zh-CN"/>
        </w:rPr>
        <w:t>注意事项：</w:t>
      </w:r>
      <w:bookmarkEnd w:id="2"/>
    </w:p>
    <w:p w14:paraId="62DE7B9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严格按照规定的时间和温度进行孵育。所有试剂都必须在使用前达到室温20-25℃。使用后放回4℃保存。</w:t>
      </w:r>
    </w:p>
    <w:p w14:paraId="4EF22AA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在加入底物前确保尽量吸干孔内液体。整个过程中不要让酶标板干燥时间过长。</w:t>
      </w:r>
    </w:p>
    <w:p w14:paraId="43AB5F1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酶标仪读数时清洁掉板底残留的液体和手指印，否则会影响读数。</w:t>
      </w:r>
    </w:p>
    <w:p w14:paraId="30B9A05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在储存和温育时避免强光直接照射。</w:t>
      </w:r>
    </w:p>
    <w:p w14:paraId="15D14A6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底物显色液应呈无色的颜色，已经变蓝的底物液不能使用。</w:t>
      </w:r>
    </w:p>
    <w:p w14:paraId="74984D4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避免试剂和样本的交叉污染。</w:t>
      </w:r>
    </w:p>
    <w:p w14:paraId="52119B3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不能接触漂白溶剂或漂白溶剂所散发的强烈气体。任何漂白成分都会破坏试剂盒中试剂的生物活性。</w:t>
      </w:r>
    </w:p>
    <w:p w14:paraId="527FB34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不能使用过期产品，不同货号和批号组分不得混用。</w:t>
      </w:r>
    </w:p>
    <w:p w14:paraId="1AAB597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不建议使用试剂盒以外的重组蛋白。</w:t>
      </w:r>
    </w:p>
    <w:p w14:paraId="2EC5A31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如果可能传播疾病，所有的样品都应管理好，按照规定的程序处理样品和检测装置。</w:t>
      </w:r>
    </w:p>
    <w:p w14:paraId="7481EE41">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default"/>
          <w:sz w:val="24"/>
          <w:szCs w:val="24"/>
          <w:vertAlign w:val="baseline"/>
          <w:lang w:val="en-US" w:eastAsia="zh-CN"/>
        </w:rPr>
      </w:pPr>
      <w:bookmarkStart w:id="3" w:name="_Toc10928"/>
      <w:r>
        <w:rPr>
          <w:rFonts w:hint="eastAsia"/>
          <w:sz w:val="24"/>
          <w:szCs w:val="24"/>
          <w:lang w:val="en-US" w:eastAsia="zh-CN"/>
        </w:rPr>
        <w:t>试剂盒组成：</w:t>
      </w:r>
      <w:bookmarkEnd w:id="3"/>
    </w:p>
    <w:tbl>
      <w:tblPr>
        <w:tblStyle w:val="88"/>
        <w:tblW w:w="8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90"/>
        <w:gridCol w:w="1396"/>
        <w:gridCol w:w="1396"/>
        <w:gridCol w:w="2516"/>
      </w:tblGrid>
      <w:tr w14:paraId="31E1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B309D6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名称</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5A2E52C">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96孔配置</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1BB8C3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48孔配置</w:t>
            </w:r>
          </w:p>
        </w:tc>
        <w:tc>
          <w:tcPr>
            <w:tcW w:w="251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452685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开封后保存条件</w:t>
            </w:r>
          </w:p>
        </w:tc>
      </w:tr>
      <w:tr w14:paraId="0153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D1392F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预包被酶标板</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36B13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8孔×12</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F9E0B8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8孔×6</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E237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w:t>
            </w:r>
            <w:r>
              <w:rPr>
                <w:rStyle w:val="99"/>
                <w:b w:val="0"/>
                <w:i w:val="0"/>
                <w:color w:val="000000"/>
                <w:sz w:val="21"/>
                <w:szCs w:val="21"/>
                <w:lang w:val="en-US" w:eastAsia="zh-CN" w:bidi="ar"/>
              </w:rPr>
              <w:t>℃</w:t>
            </w:r>
          </w:p>
        </w:tc>
      </w:tr>
      <w:tr w14:paraId="0388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5B19C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标准品</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F15F1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2支</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2886EEC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1支</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12E7B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-20℃，复溶后当天使用</w:t>
            </w:r>
          </w:p>
        </w:tc>
      </w:tr>
      <w:tr w14:paraId="729A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7E81A51">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通用稀释液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9295D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2×20ml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57476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2000B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13C0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65E637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浓缩酶标记检测抗体（100×）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2F5CAF">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120μl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AD2CCA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60μl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1D402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6D5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F3A6E8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洗涤液（20×）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CD5E4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03DEF5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1×10ml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B5E98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201E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43927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底物（TMB）</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55468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B4767E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5ml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0128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45C8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84ECF2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终止液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D373B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3BEF8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3ml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3ACCA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0C1C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BE37D3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封板膜</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F529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71950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87A50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r w14:paraId="7736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42A2451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说明书</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AA45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C6E7139">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440B6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bl>
    <w:p w14:paraId="0AF6DA96">
      <w:pPr>
        <w:pStyle w:val="4"/>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4" w:name="_Toc10240"/>
      <w:r>
        <w:rPr>
          <w:rFonts w:hint="eastAsia"/>
          <w:sz w:val="24"/>
          <w:szCs w:val="24"/>
          <w:lang w:val="en-US" w:eastAsia="zh-CN"/>
        </w:rPr>
        <w:t>样本处理及要求：</w:t>
      </w:r>
      <w:bookmarkEnd w:id="4"/>
    </w:p>
    <w:p w14:paraId="295CC34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试剂盒检测范围不等同于样本中待测物的浓度范围，建议实验前通过相关文献预估样本中待测物的浓度并通过预实验确定样本的实际浓度。如果样品中待测物浓度过高或过低，请对样本做适当的稀释或浓缩。</w:t>
      </w:r>
    </w:p>
    <w:p w14:paraId="0F86A83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若所检样本不在说明说所列样本类型之中，建议做预实验验证其检测有效性。</w:t>
      </w:r>
    </w:p>
    <w:p w14:paraId="603CD975">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b w:val="0"/>
          <w:bCs w:val="0"/>
          <w:sz w:val="24"/>
          <w:szCs w:val="24"/>
          <w:lang w:val="en-US" w:eastAsia="zh-CN"/>
        </w:rPr>
        <w:t>血清：</w:t>
      </w:r>
      <w:r>
        <w:rPr>
          <w:rFonts w:hint="eastAsia"/>
          <w:sz w:val="24"/>
          <w:szCs w:val="24"/>
          <w:lang w:val="en-US" w:eastAsia="zh-CN"/>
        </w:rPr>
        <w:t>将收集于血清分离管的全血样本在室温放置2小时或2-8℃过夜，然后1000×g离心20分钟，取上清即可，或将上清置于-20℃或-80℃保存，但应避免反复冻融。</w:t>
      </w:r>
    </w:p>
    <w:p w14:paraId="2C0D0D6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血浆：用EDTA或肝素作为抗凝剂采集样本，并将样本在采集后的30分钟内于2-8℃1000×g离心15分钟，取上清检测，或将上清置于-20℃或-80℃保存，但应避免反复冻融。</w:t>
      </w:r>
    </w:p>
    <w:p w14:paraId="02919734">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组织匀浆：用预冷的PBS（0.01M，ph=7.4）冲洗组织，去除残留血液（匀浆中裂解的红细胞会影响检测结果），称重后将组织剪碎。将剪碎的组织与对应体积的PBS（一般按照1：9的重量体积比，比如1g的组织样品对应9ml的PBS，具体体积可根据实验需要适当调整，并做好记录。推荐在PBS中加入蛋白酶抑制剂）加入玻璃匀浆器中，于冰上充分研磨或匀浆机研磨。为了进一步裂解组织细胞，可以对匀浆液进行超声破碎，或者反复冻融。最后将匀浆液于5000×g离心5-10分钟，取上清检测。</w:t>
      </w:r>
    </w:p>
    <w:p w14:paraId="02C74423">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细胞培养物上清：请1000×g离心20分钟，取上清即可检测，或将上清置于-20℃或-80℃保存，但应避免反复冻融。</w:t>
      </w:r>
    </w:p>
    <w:p w14:paraId="129532D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裂解液：贴壁细胞用预冷PBS轻轻清洗，然后用胰蛋白酶消化，1000×g离心5分钟后收集细胞；悬浮细胞可直接离心收集。收集的细胞用预冷PBS清洗3次，每1×10^6个细胞中加入150-200μlPBS重选（推荐在PBS中加入蛋白酶抑制剂；若含量很低可适当减少PBS体积）并通过反复冻融或超声使细胞破碎。将提取液于2-8℃，1500×g离心10分钟，取上清检测。</w:t>
      </w:r>
    </w:p>
    <w:p w14:paraId="130F8BA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其他生物样本：1000×g离心20分钟，取上清检测。</w:t>
      </w:r>
    </w:p>
    <w:p w14:paraId="2EA83BE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样品外观：样品应清澈透明，悬浮物应离心除去。</w:t>
      </w:r>
    </w:p>
    <w:p w14:paraId="3182AFC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样品保存：样本收集后若在1周内进行检测可保存于4℃，若不能即使检测，请按一次使用量分装，冻存于-20℃（一个月内检测），或-80℃（6个月内检测），避免反复冻融，样本溶血后会影响最后检测结果，因此溶血样本不宜进行此项检测。</w:t>
      </w:r>
    </w:p>
    <w:p w14:paraId="7FECD216">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5" w:name="_Toc6213"/>
      <w:r>
        <w:rPr>
          <w:rFonts w:hint="eastAsia"/>
          <w:sz w:val="24"/>
          <w:szCs w:val="24"/>
          <w:lang w:val="en-US" w:eastAsia="zh-CN"/>
        </w:rPr>
        <w:t>实验所需自备实验器材：</w:t>
      </w:r>
      <w:bookmarkEnd w:id="5"/>
    </w:p>
    <w:p w14:paraId="787023FA">
      <w:pPr>
        <w:keepNext w:val="0"/>
        <w:keepLines w:val="0"/>
        <w:pageBreakBefore w:val="0"/>
        <w:numPr>
          <w:ilvl w:val="0"/>
          <w:numId w:val="14"/>
        </w:numPr>
        <w:tabs>
          <w:tab w:val="left" w:pos="262"/>
        </w:tabs>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酶标仪（450nm）</w:t>
      </w:r>
    </w:p>
    <w:p w14:paraId="777F0F4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高精度移液器及吸头：0.5-10μl、5-50μl、20-200μl、200-1000μl</w:t>
      </w:r>
    </w:p>
    <w:p w14:paraId="3AF878C4">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37℃恒温箱</w:t>
      </w:r>
    </w:p>
    <w:p w14:paraId="655047C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蒸馏水或去离子水</w:t>
      </w:r>
    </w:p>
    <w:p w14:paraId="3B4E91E8">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6" w:name="_Toc4932"/>
      <w:r>
        <w:rPr>
          <w:rFonts w:hint="eastAsia"/>
          <w:sz w:val="24"/>
          <w:szCs w:val="24"/>
          <w:lang w:val="en-US" w:eastAsia="zh-CN"/>
        </w:rPr>
        <w:t>检测前准备工作：</w:t>
      </w:r>
      <w:bookmarkEnd w:id="6"/>
    </w:p>
    <w:p w14:paraId="2C5A3095">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请提前10分钟从冰箱中取出试剂盒，平衡至室温。</w:t>
      </w:r>
    </w:p>
    <w:p w14:paraId="245A36E0">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标准品梯度工作液配制：加入1ml通用稀释液至冻干标准品中，静置15分钟待其完全溶解后轻轻混匀（浓度为1000pg/ml），然后按照以下浓度：1000pg/ml、500pg/ml、250pg/ml、125pg/ml、62.5pg/ml、31.25pg/ml、15.625pg/ml、0进行稀释。稀释方法：取7支EP管，每管加入500μl通用稀释液1000pg/ml的标准品工作液中吸取500μl到第一支EP管中混匀配成1000pg/ml的标准品工作液，按此步骤往后依次吸取混匀。</w:t>
      </w:r>
    </w:p>
    <w:p w14:paraId="07D331F2">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HRP标记的检测抗体工作液配制：使用前15分钟将浓缩生物素化抗体于1000×g离心1分钟，以通用稀释液将100×浓缩生物素化抗体稀释成1×工作浓度，现配现用。</w:t>
      </w:r>
    </w:p>
    <w:p w14:paraId="67E29694">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1×洗涤液配制：取10ml20×洗涤液到190ml蒸馏水中（从冰箱中取出的浓缩洗涤液可能有结晶，属于正常现象，可放置室温，待结晶完全溶解后再配制）。</w:t>
      </w:r>
    </w:p>
    <w:p w14:paraId="4BEB6195">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7" w:name="_Toc29074"/>
      <w:r>
        <w:rPr>
          <w:rFonts w:hint="eastAsia"/>
          <w:sz w:val="24"/>
          <w:szCs w:val="24"/>
          <w:lang w:val="en-US" w:eastAsia="zh-CN"/>
        </w:rPr>
        <w:t>操作步骤：</w:t>
      </w:r>
      <w:bookmarkEnd w:id="7"/>
    </w:p>
    <w:p w14:paraId="6BF1CF55">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酶标条从冰箱取出后平衡至室温，取出实验所需，剩余用自封袋密封放回4℃。</w:t>
      </w:r>
    </w:p>
    <w:p w14:paraId="3998E493">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加样：分别将样品或不同浓度标准品按照100μl每孔加入相应孔中，空白孔加入100μl通用稀释液。盖上封板膜后37℃温育60分钟。（最好将待测样本用通用稀释液最低稀释1倍后再加入酶标板内检测，减少基质效应对测试结果的影响，最后计算样本浓度时再乘以相应的稀释倍数，建议所有的待测样本和标准品在检测中设置复孔）。</w:t>
      </w:r>
    </w:p>
    <w:p w14:paraId="6811D9EC">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温育完成后，弃去液体，不用洗涤。每孔直接加入HRP标记的检测抗体工作液100μl，盖上封板膜后37℃温育40分钟。</w:t>
      </w:r>
    </w:p>
    <w:p w14:paraId="7CE9C070">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洗板：温育完成后，弃去液体，每孔加入200μl1×洗涤液，静置1分钟，弃去洗涤液，并在吸水纸上拍干，重复洗涤5次。也可用洗板机代替洗涤过程。</w:t>
      </w:r>
    </w:p>
    <w:p w14:paraId="07C9867E">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底物反应：每孔加入底物（TMB）90μl，盖上封板膜，室温孵育15分钟。</w:t>
      </w:r>
    </w:p>
    <w:p w14:paraId="0516C6D8">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终止：每孔加入终止液50μl，立即在450nm波长处测定各孔的OD值。加入终止液后时间过长会影响最终读数。</w:t>
      </w:r>
    </w:p>
    <w:p w14:paraId="6BEB620D">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8" w:name="_Toc4284"/>
      <w:r>
        <w:rPr>
          <w:rFonts w:hint="eastAsia"/>
          <w:sz w:val="24"/>
          <w:szCs w:val="24"/>
          <w:lang w:val="en-US" w:eastAsia="zh-CN"/>
        </w:rPr>
        <w:t>实验结果计算：</w:t>
      </w:r>
      <w:bookmarkEnd w:id="8"/>
    </w:p>
    <w:p w14:paraId="2C9D65FE">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计算样品和标准品复孔的平均OD值减去空白孔的OD值作为校正值。在双对数坐标纸上，以浓度为横坐标，OD值为纵坐标绘制标准曲线。</w:t>
      </w:r>
    </w:p>
    <w:p w14:paraId="352DC39C">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若样品的OD值高于标准曲线的上限，应适当稀释后重测。</w:t>
      </w:r>
    </w:p>
    <w:p w14:paraId="0E2ABB94">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p>
    <w:p w14:paraId="752681A4">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p>
    <w:p w14:paraId="1249A027">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p>
    <w:p w14:paraId="427BB32D">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p>
    <w:p w14:paraId="60262EF5">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p>
    <w:p w14:paraId="5F191806">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ascii="宋体" w:hAnsi="宋体" w:eastAsia="宋体" w:cs="宋体"/>
          <w:sz w:val="24"/>
          <w:szCs w:val="24"/>
        </w:rPr>
      </w:pPr>
      <w:r>
        <w:rPr>
          <w:rFonts w:hint="eastAsia"/>
          <w:sz w:val="24"/>
          <w:szCs w:val="24"/>
          <w:lang w:val="en-US" w:eastAsia="zh-CN"/>
        </w:rPr>
        <w:br w:type="page"/>
      </w:r>
    </w:p>
    <w:p w14:paraId="315BEC72">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ascii="宋体" w:hAnsi="宋体" w:eastAsia="宋体" w:cs="宋体"/>
          <w:sz w:val="24"/>
          <w:szCs w:val="24"/>
        </w:rPr>
      </w:pPr>
      <w:r>
        <w:rPr>
          <w:rFonts w:hint="eastAsia" w:ascii="宋体" w:hAnsi="宋体" w:eastAsia="宋体" w:cs="宋体"/>
          <w:sz w:val="24"/>
          <w:szCs w:val="24"/>
          <w:lang w:val="en-US" w:eastAsia="zh-CN"/>
        </w:rPr>
        <w:t xml:space="preserve">  </w:t>
      </w:r>
    </w:p>
    <w:p w14:paraId="0EE580EB">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ascii="宋体" w:hAnsi="宋体" w:eastAsia="宋体" w:cs="宋体"/>
          <w:sz w:val="24"/>
          <w:szCs w:val="24"/>
        </w:rPr>
      </w:pPr>
    </w:p>
    <w:p w14:paraId="4614AF62">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ascii="宋体" w:hAnsi="宋体" w:eastAsia="宋体" w:cs="宋体"/>
          <w:sz w:val="24"/>
          <w:szCs w:val="24"/>
        </w:rPr>
      </w:pPr>
    </w:p>
    <w:p w14:paraId="3D72C768">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r>
        <w:rPr>
          <w:rFonts w:hint="eastAsia" w:ascii="微软雅黑" w:hAnsi="微软雅黑" w:eastAsia="微软雅黑" w:cs="微软雅黑"/>
          <w:i w:val="0"/>
          <w:iCs w:val="0"/>
          <w:caps w:val="0"/>
          <w:color w:val="333333"/>
          <w:spacing w:val="0"/>
          <w:sz w:val="24"/>
          <w:szCs w:val="24"/>
          <w:vertAlign w:val="baseline"/>
        </w:rPr>
        <w:t>注意：本图仅供参考，应以同次试验标准品所绘标准曲线计算标本含量。</w:t>
      </w:r>
    </w:p>
    <w:p w14:paraId="5DE4BB3E">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68AE59BD">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1B4BDA35">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1E73E241">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6D8951BD">
      <w:pPr>
        <w:pStyle w:val="4"/>
        <w:bidi w:val="0"/>
        <w:ind w:left="0" w:leftChars="0" w:firstLine="0" w:firstLineChars="0"/>
        <w:rPr>
          <w:rFonts w:hint="eastAsia"/>
          <w:lang w:val="en-US" w:eastAsia="zh-CN"/>
        </w:rPr>
      </w:pPr>
      <w:bookmarkStart w:id="9" w:name="_Toc19760"/>
      <w:r>
        <w:rPr>
          <w:rFonts w:hint="eastAsia"/>
          <w:lang w:val="en-US" w:eastAsia="zh-CN"/>
        </w:rPr>
        <w:t>试剂盒性能：</w:t>
      </w:r>
      <w:bookmarkEnd w:id="9"/>
    </w:p>
    <w:p w14:paraId="142C2EE9">
      <w:pPr>
        <w:numPr>
          <w:ilvl w:val="0"/>
          <w:numId w:val="17"/>
        </w:numPr>
        <w:ind w:left="0" w:leftChars="0" w:firstLine="0" w:firstLineChars="0"/>
        <w:rPr>
          <w:rFonts w:hint="eastAsia"/>
          <w:lang w:val="en-US" w:eastAsia="zh-CN"/>
        </w:rPr>
      </w:pPr>
      <w:r>
        <w:rPr>
          <w:rFonts w:hint="eastAsia"/>
          <w:lang w:val="en-US" w:eastAsia="zh-CN"/>
        </w:rPr>
        <w:t>重复性：板内变异系数小于5%，板间变异系数小于5%</w:t>
      </w:r>
    </w:p>
    <w:p w14:paraId="1366C0F3">
      <w:pPr>
        <w:numPr>
          <w:ilvl w:val="0"/>
          <w:numId w:val="17"/>
        </w:numPr>
        <w:ind w:left="0" w:leftChars="0" w:firstLine="0" w:firstLineChars="0"/>
        <w:rPr>
          <w:rFonts w:hint="eastAsia"/>
          <w:lang w:val="en-US" w:eastAsia="zh-CN"/>
        </w:rPr>
      </w:pPr>
      <w:r>
        <w:rPr>
          <w:rFonts w:hint="eastAsia"/>
          <w:lang w:val="en-US" w:eastAsia="zh-CN"/>
        </w:rPr>
        <w:t>回收率：在选取的健康人血清、血浆和细胞培养上清中加入3个不同浓度水平的人</w:t>
      </w:r>
      <w:r>
        <w:rPr>
          <w:rFonts w:hint="eastAsia"/>
          <w:sz w:val="24"/>
          <w:szCs w:val="24"/>
          <w:lang w:val="en-US" w:eastAsia="zh-CN"/>
        </w:rPr>
        <w:t>B-ALP</w:t>
      </w:r>
      <w:r>
        <w:rPr>
          <w:rFonts w:hint="eastAsia"/>
          <w:lang w:val="en-US" w:eastAsia="zh-CN"/>
        </w:rPr>
        <w:t>蛋白，计算回收率。</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1"/>
        <w:gridCol w:w="2556"/>
        <w:gridCol w:w="2132"/>
      </w:tblGrid>
      <w:tr w14:paraId="58FB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4E4A2A4">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样本类型</w:t>
            </w:r>
          </w:p>
        </w:tc>
        <w:tc>
          <w:tcPr>
            <w:tcW w:w="2556" w:type="dxa"/>
            <w:vAlign w:val="center"/>
          </w:tcPr>
          <w:p w14:paraId="03D1CA21">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范围（%）</w:t>
            </w:r>
          </w:p>
        </w:tc>
        <w:tc>
          <w:tcPr>
            <w:tcW w:w="2132" w:type="dxa"/>
            <w:vAlign w:val="center"/>
          </w:tcPr>
          <w:p w14:paraId="7EAA3C68">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平均回收率</w:t>
            </w:r>
          </w:p>
        </w:tc>
      </w:tr>
      <w:tr w14:paraId="0BE7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605B3741">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Serum (n=5)</w:t>
            </w:r>
          </w:p>
        </w:tc>
        <w:tc>
          <w:tcPr>
            <w:tcW w:w="2556" w:type="dxa"/>
            <w:vAlign w:val="center"/>
          </w:tcPr>
          <w:p w14:paraId="5ADCC568">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90</w:t>
            </w:r>
          </w:p>
        </w:tc>
        <w:tc>
          <w:tcPr>
            <w:tcW w:w="2132" w:type="dxa"/>
            <w:vAlign w:val="center"/>
          </w:tcPr>
          <w:p w14:paraId="4D35B3E4">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85-98</w:t>
            </w:r>
          </w:p>
        </w:tc>
      </w:tr>
      <w:tr w14:paraId="064B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D90364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EDTA plasma (n=4)</w:t>
            </w:r>
          </w:p>
        </w:tc>
        <w:tc>
          <w:tcPr>
            <w:tcW w:w="2556" w:type="dxa"/>
            <w:vAlign w:val="center"/>
          </w:tcPr>
          <w:p w14:paraId="13178C2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112</w:t>
            </w:r>
          </w:p>
        </w:tc>
        <w:tc>
          <w:tcPr>
            <w:tcW w:w="2132" w:type="dxa"/>
            <w:vAlign w:val="center"/>
          </w:tcPr>
          <w:p w14:paraId="7ED55E6A">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105-117</w:t>
            </w:r>
          </w:p>
        </w:tc>
      </w:tr>
      <w:tr w14:paraId="5E6B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91" w:type="dxa"/>
            <w:vAlign w:val="center"/>
          </w:tcPr>
          <w:p w14:paraId="40B3BCB3">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细胞培养上清（n=10）</w:t>
            </w:r>
          </w:p>
        </w:tc>
        <w:tc>
          <w:tcPr>
            <w:tcW w:w="2556" w:type="dxa"/>
            <w:vAlign w:val="center"/>
          </w:tcPr>
          <w:p w14:paraId="779CD79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97-104</w:t>
            </w:r>
          </w:p>
        </w:tc>
        <w:tc>
          <w:tcPr>
            <w:tcW w:w="2132" w:type="dxa"/>
            <w:vAlign w:val="center"/>
          </w:tcPr>
          <w:p w14:paraId="1C641C6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101</w:t>
            </w:r>
          </w:p>
        </w:tc>
      </w:tr>
    </w:tbl>
    <w:p w14:paraId="27AA5B7C">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textAlignment w:val="auto"/>
        <w:rPr>
          <w:rFonts w:hint="default"/>
          <w:b/>
          <w:bCs/>
          <w:lang w:val="en-US" w:eastAsia="zh-CN"/>
        </w:rPr>
      </w:pPr>
    </w:p>
    <w:sectPr>
      <w:headerReference r:id="rId5" w:type="default"/>
      <w:footerReference r:id="rId6" w:type="default"/>
      <w:pgSz w:w="11906" w:h="16838"/>
      <w:pgMar w:top="1984" w:right="1800" w:bottom="1440" w:left="1800" w:header="851" w:footer="43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8946292-AD6A-4E66-8282-9AD476B226A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汉仪仿宋简">
    <w:panose1 w:val="02010600000101010101"/>
    <w:charset w:val="80"/>
    <w:family w:val="auto"/>
    <w:pitch w:val="default"/>
    <w:sig w:usb0="800002BF" w:usb1="184F6CF8" w:usb2="00000012" w:usb3="00000000" w:csb0="00020001" w:csb1="00000000"/>
    <w:embedRegular r:id="rId2" w:fontKey="{7CE2A665-6780-4D11-8FC9-4E0A6EC0FB40}"/>
  </w:font>
  <w:font w:name="汉仪中宋简">
    <w:panose1 w:val="02010600000101010101"/>
    <w:charset w:val="80"/>
    <w:family w:val="auto"/>
    <w:pitch w:val="default"/>
    <w:sig w:usb0="800002BF" w:usb1="184F6CF8" w:usb2="00000012" w:usb3="00000000" w:csb0="00020001"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3" w:fontKey="{E8967C8F-07BE-4689-9E34-49E68C3B009F}"/>
  </w:font>
  <w:font w:name="微软雅黑">
    <w:panose1 w:val="020B0503020204020204"/>
    <w:charset w:val="86"/>
    <w:family w:val="auto"/>
    <w:pitch w:val="default"/>
    <w:sig w:usb0="80000287" w:usb1="2ACF3C50" w:usb2="00000016" w:usb3="00000000" w:csb0="0004001F" w:csb1="00000000"/>
    <w:embedRegular r:id="rId4" w:fontKey="{81975638-8AC9-4A8D-980B-3469DE603F83}"/>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79F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vAlign w:val="bottom"/>
        </w:tcPr>
        <w:p w14:paraId="3E1E8006">
          <w:pPr>
            <w:pStyle w:val="56"/>
            <w:jc w:val="both"/>
            <w:rPr>
              <w:rFonts w:hint="default" w:eastAsia="宋体"/>
              <w:sz w:val="18"/>
              <w:szCs w:val="24"/>
              <w:vertAlign w:val="baseline"/>
              <w:lang w:val="en-US" w:eastAsia="zh-CN"/>
            </w:rPr>
          </w:pPr>
          <w:r>
            <w:rPr>
              <w:sz w:val="18"/>
            </w:rPr>
            <mc:AlternateContent>
              <mc:Choice Requires="wps">
                <w:drawing>
                  <wp:anchor distT="0" distB="0" distL="114300" distR="114300" simplePos="0" relativeHeight="251661312" behindDoc="1" locked="0" layoutInCell="1" allowOverlap="1">
                    <wp:simplePos x="0" y="0"/>
                    <wp:positionH relativeFrom="page">
                      <wp:posOffset>2211705</wp:posOffset>
                    </wp:positionH>
                    <wp:positionV relativeFrom="page">
                      <wp:posOffset>280035</wp:posOffset>
                    </wp:positionV>
                    <wp:extent cx="1828800" cy="1828800"/>
                    <wp:effectExtent l="0" t="0" r="0" b="0"/>
                    <wp:wrapNone/>
                    <wp:docPr id="7" name="文本框 7"/>
                    <wp:cNvGraphicFramePr>
                      <a:extLst xmlns:a="http://schemas.openxmlformats.org/drawingml/2006/main">
                        <a:ext uri="{7FBC4E63-A832-4D11-8238-D91031DB1400}">
                          <s:tag xmlns="http://www.wps.cn/officeDocument/2013/wpsCustomData" xmlns:s="http://www.wps.cn/officeDocument/2013/wpsCustomData">
                            <s:item s:name="docerheaderfootertag" s:val="pagenumfooter"/>
                          </s:tag>
                        </a:ext>
                      </a:extLst>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74.15pt;margin-top:22.05pt;height:144pt;width:144pt;mso-position-horizontal-relative:page;mso-position-vertical-relative:page;mso-wrap-style:none;z-index:-251655168;mso-width-relative:page;mso-height-relative:page;" filled="f" stroked="f" coordsize="21600,21600" o:gfxdata="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JD/ir1gAAAAoBAAAPAAAAAAAAAAEAIAAAACIAAABkcnMvZG93bnJldi54bWxQSwECFAAU&#10;AAAACACHTuJAnroL+ywCAABVBAAADgAAAAAAAAABACAAAAAlAQAAZHJzL2Uyb0RvYy54bWxQSwUG&#10;AAAAAAYABgBZAQAAwwUAAAAA&#10;">
                    <v:fill on="f" focussize="0,0"/>
                    <v:stroke on="f" weight="0.5pt"/>
                    <v:imagedata o:title=""/>
                    <o:lock v:ext="edit" aspectratio="f"/>
                    <v:textbox inset="0mm,0mm,0mm,0mm" style="mso-fit-shape-to-text:t;">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v:textbox>
                  </v:shape>
                </w:pict>
              </mc:Fallback>
            </mc:AlternateContent>
          </w:r>
          <w:r>
            <w:rPr>
              <w:rFonts w:hint="eastAsia" w:eastAsia="宋体"/>
              <w:sz w:val="18"/>
              <w:szCs w:val="24"/>
              <w:vertAlign w:val="baseline"/>
              <w:lang w:val="en-US" w:eastAsia="zh-CN"/>
            </w:rPr>
            <w:t>咨询电话：</w:t>
          </w:r>
          <w:r>
            <w:rPr>
              <w:rFonts w:hint="eastAsia" w:ascii="宋体" w:hAnsi="宋体" w:eastAsia="宋体" w:cs="宋体"/>
              <w:sz w:val="18"/>
              <w:szCs w:val="24"/>
              <w:vertAlign w:val="baseline"/>
              <w:lang w:val="en-US" w:eastAsia="zh-CN"/>
            </w:rPr>
            <w:t>17863856198</w:t>
          </w:r>
        </w:p>
      </w:tc>
      <w:tc>
        <w:tcPr>
          <w:tcW w:w="4261" w:type="dxa"/>
          <w:tcBorders>
            <w:top w:val="nil"/>
            <w:left w:val="nil"/>
            <w:bottom w:val="nil"/>
            <w:right w:val="nil"/>
          </w:tcBorders>
          <w:vAlign w:val="bottom"/>
        </w:tcPr>
        <w:p w14:paraId="7A398AC5">
          <w:pPr>
            <w:pStyle w:val="56"/>
            <w:jc w:val="right"/>
            <w:rPr>
              <w:rFonts w:hint="default" w:eastAsia="宋体"/>
              <w:sz w:val="18"/>
              <w:szCs w:val="24"/>
              <w:vertAlign w:val="baseline"/>
              <w:lang w:val="en-US" w:eastAsia="zh-CN"/>
            </w:rPr>
          </w:pPr>
          <w:r>
            <w:rPr>
              <w:rFonts w:hint="eastAsia" w:eastAsia="宋体"/>
              <w:sz w:val="18"/>
              <w:szCs w:val="24"/>
              <w:vertAlign w:val="baseline"/>
              <w:lang w:val="en-US" w:eastAsia="zh-CN"/>
            </w:rPr>
            <w:t>网址：</w:t>
          </w:r>
          <w:r>
            <w:rPr>
              <w:rFonts w:hint="eastAsia" w:ascii="宋体" w:hAnsi="宋体" w:eastAsia="宋体" w:cs="宋体"/>
              <w:b w:val="0"/>
              <w:bCs w:val="0"/>
              <w:sz w:val="18"/>
              <w:szCs w:val="24"/>
              <w:vertAlign w:val="baseline"/>
              <w:lang w:val="en-US" w:eastAsia="zh-CN"/>
            </w:rPr>
            <w:t>www.sdnrbe.cn</w:t>
          </w:r>
        </w:p>
      </w:tc>
    </w:tr>
  </w:tbl>
  <w:p w14:paraId="3F5DB4A7">
    <w:pPr>
      <w:pStyle w:val="56"/>
      <w:jc w:val="both"/>
    </w:pPr>
    <w:r>
      <w:rPr>
        <w:sz w:val="18"/>
      </w:rPr>
      <mc:AlternateContent>
        <mc:Choice Requires="wps">
          <w:drawing>
            <wp:anchor distT="0" distB="0" distL="114300" distR="114300" simplePos="0" relativeHeight="251660288" behindDoc="1" locked="0" layoutInCell="1" allowOverlap="1">
              <wp:simplePos x="0" y="0"/>
              <wp:positionH relativeFrom="page">
                <wp:posOffset>727075</wp:posOffset>
              </wp:positionH>
              <wp:positionV relativeFrom="page">
                <wp:posOffset>9819640</wp:posOffset>
              </wp:positionV>
              <wp:extent cx="6162675" cy="0"/>
              <wp:effectExtent l="0" t="6350" r="0" b="6350"/>
              <wp:wrapNone/>
              <wp:docPr id="1" name="直接连接符 1"/>
              <wp:cNvGraphicFramePr>
                <a:extLst xmlns:a="http://schemas.openxmlformats.org/drawingml/2006/main">
                  <a:ext uri="{7FBC4E63-A832-4D11-8238-D91031DB1400}">
                    <s:tag xmlns="http://www.wps.cn/officeDocument/2013/wpsCustomData" xmlns:s="http://www.wps.cn/officeDocument/2013/wpsCustomData">
                      <s:item s:name="docerheaderfootertag" s:val="foot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7.25pt;margin-top:773.2pt;height:0pt;width:485.25pt;mso-position-horizontal-relative:page;mso-position-vertical-relative:page;z-index:-251656192;mso-width-relative:page;mso-height-relative:page;" filled="f" stroked="t" coordsize="21600,21600" o:gfxdata="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41p+dcAAAAOAQAADwAAAAAAAAABACAAAAAiAAAAZHJzL2Rvd25y&#10;ZXYueG1sUEsBAhQAFAAAAAgAh07iQNc6kvT/AQAA6wMAAA4AAAAAAAAAAQAgAAAAJgEAAGRycy9l&#10;Mm9Eb2MueG1sUEsFBgAAAAAGAAYAWQEAAJcFAAAAAA==&#10;">
              <v:fill on="f" focussize="0,0"/>
              <v:stroke weight="1pt" color="#262626 [2749]" miterlimit="8" joinstyle="miter"/>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ind w:firstLine="560"/>
      </w:pPr>
      <w:r>
        <w:separator/>
      </w:r>
    </w:p>
  </w:footnote>
  <w:footnote w:type="continuationSeparator" w:id="1">
    <w:p>
      <w:pPr>
        <w:spacing w:before="0" w:after="0" w:line="288"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CD6C4">
    <w:pPr>
      <w:pStyle w:val="58"/>
      <w:jc w:val="both"/>
    </w:pPr>
    <w:r>
      <w:drawing>
        <wp:anchor distT="0" distB="0" distL="114300" distR="114300" simplePos="0" relativeHeight="251662336" behindDoc="1" locked="0" layoutInCell="1" allowOverlap="1">
          <wp:simplePos x="0" y="0"/>
          <wp:positionH relativeFrom="column">
            <wp:posOffset>-171450</wp:posOffset>
          </wp:positionH>
          <wp:positionV relativeFrom="paragraph">
            <wp:posOffset>-171450</wp:posOffset>
          </wp:positionV>
          <wp:extent cx="1372870" cy="469265"/>
          <wp:effectExtent l="0" t="0" r="17780" b="6985"/>
          <wp:wrapNone/>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
                  <a:stretch>
                    <a:fillRect/>
                  </a:stretch>
                </pic:blipFill>
                <pic:spPr>
                  <a:xfrm>
                    <a:off x="0" y="0"/>
                    <a:ext cx="1372870" cy="469265"/>
                  </a:xfrm>
                  <a:prstGeom prst="rect">
                    <a:avLst/>
                  </a:prstGeom>
                  <a:noFill/>
                  <a:ln>
                    <a:noFill/>
                  </a:ln>
                </pic:spPr>
              </pic:pic>
            </a:graphicData>
          </a:graphic>
        </wp:anchor>
      </w:drawing>
    </w:r>
    <w:r>
      <mc:AlternateContent>
        <mc:Choice Requires="wps">
          <w:drawing>
            <wp:anchor distT="0" distB="0" distL="114300" distR="114300" simplePos="0" relativeHeight="251659264" behindDoc="1" locked="0" layoutInCell="1" allowOverlap="1">
              <wp:simplePos x="0" y="0"/>
              <wp:positionH relativeFrom="page">
                <wp:align>center</wp:align>
              </wp:positionH>
              <wp:positionV relativeFrom="page">
                <wp:posOffset>896620</wp:posOffset>
              </wp:positionV>
              <wp:extent cx="6162675" cy="0"/>
              <wp:effectExtent l="0" t="6350" r="0" b="6350"/>
              <wp:wrapNone/>
              <wp:docPr id="2" name="直接连接符 2"/>
              <wp:cNvGraphicFramePr>
                <a:extLst xmlns:a="http://schemas.openxmlformats.org/drawingml/2006/main">
                  <a:ext uri="{7FBC4E63-A832-4D11-8238-D91031DB1400}">
                    <s:tag xmlns="http://www.wps.cn/officeDocument/2013/wpsCustomData" xmlns:s="http://www.wps.cn/officeDocument/2013/wpsCustomData">
                      <s:item s:name="docerheaderfootertag" s:val="head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top:70.6pt;height:0pt;width:485.25pt;mso-position-horizontal:center;mso-position-horizontal-relative:page;mso-position-vertical-relative:page;z-index:-251657216;mso-width-relative:page;mso-height-relative:page;" filled="f" stroked="t" coordsize="21600,21600" o:gfxdata="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GqByTUAAAACAEAAA8AAAAAAAAAAQAgAAAAIgAAAGRycy9kb3ducmV2&#10;LnhtbFBLAQIUABQAAAAIAIdO4kAHgT/+AAIAAOsDAAAOAAAAAAAAAAEAIAAAACMBAABkcnMvZTJv&#10;RG9jLnhtbFBLBQYAAAAABgAGAFkBAACVBQAAAAA=&#10;">
              <v:fill on="f" focussize="0,0"/>
              <v:stroke weight="1pt" color="#262626 [2749]" miterlimit="8" joinstyle="miter"/>
              <v:imagedata o:title=""/>
              <o:lock v:ext="edit" aspectratio="f"/>
            </v:line>
          </w:pict>
        </mc:Fallback>
      </mc:AlternateContent>
    </w:r>
    <w:r>
      <w:rPr>
        <w:sz w:val="18"/>
      </w:rPr>
      <w:pict>
        <v:shape id="PowerPlusWaterMarkObject101384" o:spid="_x0000_s4097" o:spt="136" type="#_x0000_t136" style="position:absolute;left:0pt;margin-left:226.8pt;margin-top:510.3pt;height:36.2pt;width:166.35pt;mso-position-horizontal-relative:margin;mso-position-vertical-relative:margin;rotation:-2949120f;z-index:-251653120;mso-width-relative:page;mso-height-relative:page;" fillcolor="#D0CECE" filled="t" stroked="f" coordsize="21600,21600" adj="10800">
          <v:path/>
          <v:fill on="t" opacity="29491f" focussize="0,0"/>
          <v:stroke on="f"/>
          <v:imagedata o:title=""/>
          <o:lock v:ext="edit" aspectratio="t"/>
          <v:textpath on="t" fitshape="t" fitpath="t" trim="t" xscale="f" string="纳睿博恩生物"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64513"/>
    <w:multiLevelType w:val="singleLevel"/>
    <w:tmpl w:val="A8364513"/>
    <w:lvl w:ilvl="0" w:tentative="0">
      <w:start w:val="1"/>
      <w:numFmt w:val="decimal"/>
      <w:suff w:val="nothing"/>
      <w:lvlText w:val="%1．"/>
      <w:lvlJc w:val="left"/>
      <w:pPr>
        <w:ind w:left="0" w:firstLine="400"/>
      </w:pPr>
      <w:rPr>
        <w:rFonts w:hint="default"/>
      </w:rPr>
    </w:lvl>
  </w:abstractNum>
  <w:abstractNum w:abstractNumId="1">
    <w:nsid w:val="B2A926D1"/>
    <w:multiLevelType w:val="singleLevel"/>
    <w:tmpl w:val="B2A926D1"/>
    <w:lvl w:ilvl="0" w:tentative="0">
      <w:start w:val="1"/>
      <w:numFmt w:val="bullet"/>
      <w:pStyle w:val="40"/>
      <w:lvlText w:val=""/>
      <w:lvlJc w:val="left"/>
      <w:pPr>
        <w:tabs>
          <w:tab w:val="left" w:pos="839"/>
        </w:tabs>
        <w:ind w:left="839" w:hanging="419"/>
      </w:pPr>
      <w:rPr>
        <w:rFonts w:hint="default" w:ascii="Wingdings" w:hAnsi="Wingdings" w:cs="Wingdings"/>
      </w:rPr>
    </w:lvl>
  </w:abstractNum>
  <w:abstractNum w:abstractNumId="2">
    <w:nsid w:val="BCF19EAF"/>
    <w:multiLevelType w:val="singleLevel"/>
    <w:tmpl w:val="BCF19EAF"/>
    <w:lvl w:ilvl="0" w:tentative="0">
      <w:start w:val="1"/>
      <w:numFmt w:val="decimal"/>
      <w:lvlText w:val="%1."/>
      <w:lvlJc w:val="left"/>
    </w:lvl>
  </w:abstractNum>
  <w:abstractNum w:abstractNumId="3">
    <w:nsid w:val="C58435B6"/>
    <w:multiLevelType w:val="singleLevel"/>
    <w:tmpl w:val="C58435B6"/>
    <w:lvl w:ilvl="0" w:tentative="0">
      <w:start w:val="1"/>
      <w:numFmt w:val="bullet"/>
      <w:pStyle w:val="24"/>
      <w:lvlText w:val=""/>
      <w:lvlJc w:val="left"/>
      <w:pPr>
        <w:ind w:left="420" w:firstLine="0"/>
      </w:pPr>
      <w:rPr>
        <w:rFonts w:hint="default" w:ascii="Wingdings" w:hAnsi="Wingdings"/>
      </w:rPr>
    </w:lvl>
  </w:abstractNum>
  <w:abstractNum w:abstractNumId="4">
    <w:nsid w:val="E1ED4FF5"/>
    <w:multiLevelType w:val="singleLevel"/>
    <w:tmpl w:val="E1ED4FF5"/>
    <w:lvl w:ilvl="0" w:tentative="0">
      <w:start w:val="1"/>
      <w:numFmt w:val="decimal"/>
      <w:suff w:val="nothing"/>
      <w:lvlText w:val="%1．"/>
      <w:lvlJc w:val="left"/>
      <w:pPr>
        <w:ind w:left="0" w:firstLine="400"/>
      </w:pPr>
      <w:rPr>
        <w:rFonts w:hint="default"/>
      </w:rPr>
    </w:lvl>
  </w:abstractNum>
  <w:abstractNum w:abstractNumId="5">
    <w:nsid w:val="E482BA5D"/>
    <w:multiLevelType w:val="singleLevel"/>
    <w:tmpl w:val="E482BA5D"/>
    <w:lvl w:ilvl="0" w:tentative="0">
      <w:start w:val="1"/>
      <w:numFmt w:val="bullet"/>
      <w:pStyle w:val="46"/>
      <w:lvlText w:val=""/>
      <w:lvlJc w:val="left"/>
      <w:pPr>
        <w:tabs>
          <w:tab w:val="left" w:pos="2098"/>
        </w:tabs>
        <w:ind w:left="2098" w:hanging="1678"/>
      </w:pPr>
      <w:rPr>
        <w:rFonts w:hint="default" w:ascii="Wingdings" w:hAnsi="Wingdings"/>
      </w:rPr>
    </w:lvl>
  </w:abstractNum>
  <w:abstractNum w:abstractNumId="6">
    <w:nsid w:val="E8ED2A96"/>
    <w:multiLevelType w:val="singleLevel"/>
    <w:tmpl w:val="E8ED2A96"/>
    <w:lvl w:ilvl="0" w:tentative="0">
      <w:start w:val="1"/>
      <w:numFmt w:val="decimal"/>
      <w:suff w:val="nothing"/>
      <w:lvlText w:val="%1．"/>
      <w:lvlJc w:val="left"/>
      <w:pPr>
        <w:ind w:left="0" w:firstLine="400"/>
      </w:pPr>
      <w:rPr>
        <w:rFonts w:hint="default"/>
      </w:rPr>
    </w:lvl>
  </w:abstractNum>
  <w:abstractNum w:abstractNumId="7">
    <w:nsid w:val="FEEA93E5"/>
    <w:multiLevelType w:val="singleLevel"/>
    <w:tmpl w:val="FEEA93E5"/>
    <w:lvl w:ilvl="0" w:tentative="0">
      <w:start w:val="1"/>
      <w:numFmt w:val="bullet"/>
      <w:pStyle w:val="17"/>
      <w:lvlText w:val=""/>
      <w:lvlJc w:val="left"/>
      <w:pPr>
        <w:tabs>
          <w:tab w:val="left" w:pos="1678"/>
        </w:tabs>
        <w:ind w:left="1678" w:hanging="1258"/>
      </w:pPr>
      <w:rPr>
        <w:rFonts w:hint="default" w:ascii="Wingdings" w:hAnsi="Wingdings"/>
      </w:rPr>
    </w:lvl>
  </w:abstractNum>
  <w:abstractNum w:abstractNumId="8">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9">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10">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11">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12">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3">
    <w:nsid w:val="0A9A7887"/>
    <w:multiLevelType w:val="singleLevel"/>
    <w:tmpl w:val="0A9A7887"/>
    <w:lvl w:ilvl="0" w:tentative="0">
      <w:start w:val="1"/>
      <w:numFmt w:val="decimal"/>
      <w:suff w:val="nothing"/>
      <w:lvlText w:val="%1．"/>
      <w:lvlJc w:val="left"/>
      <w:pPr>
        <w:ind w:left="0" w:firstLine="400"/>
      </w:pPr>
      <w:rPr>
        <w:rFonts w:hint="default"/>
      </w:rPr>
    </w:lvl>
  </w:abstractNum>
  <w:abstractNum w:abstractNumId="14">
    <w:nsid w:val="28D3E4A0"/>
    <w:multiLevelType w:val="singleLevel"/>
    <w:tmpl w:val="28D3E4A0"/>
    <w:lvl w:ilvl="0" w:tentative="0">
      <w:start w:val="1"/>
      <w:numFmt w:val="bullet"/>
      <w:pStyle w:val="33"/>
      <w:lvlText w:val=""/>
      <w:lvlJc w:val="left"/>
      <w:pPr>
        <w:tabs>
          <w:tab w:val="left" w:pos="1259"/>
        </w:tabs>
        <w:ind w:left="1140" w:hanging="839"/>
      </w:pPr>
      <w:rPr>
        <w:rFonts w:hint="default" w:ascii="Wingdings" w:hAnsi="Wingdings"/>
      </w:rPr>
    </w:lvl>
  </w:abstractNum>
  <w:abstractNum w:abstractNumId="15">
    <w:nsid w:val="3BD9DDB7"/>
    <w:multiLevelType w:val="multilevel"/>
    <w:tmpl w:val="3BD9DDB7"/>
    <w:lvl w:ilvl="0" w:tentative="0">
      <w:start w:val="1"/>
      <w:numFmt w:val="chineseCounting"/>
      <w:pStyle w:val="3"/>
      <w:suff w:val="nothing"/>
      <w:lvlText w:val="%1、"/>
      <w:lvlJc w:val="left"/>
      <w:pPr>
        <w:tabs>
          <w:tab w:val="left" w:pos="0"/>
        </w:tabs>
        <w:ind w:left="0" w:firstLine="0"/>
      </w:pPr>
      <w:rPr>
        <w:rFonts w:hint="eastAsia" w:ascii="汉仪仿宋简" w:hAnsi="汉仪仿宋简" w:eastAsia="汉仪仿宋简"/>
      </w:rPr>
    </w:lvl>
    <w:lvl w:ilvl="1" w:tentative="0">
      <w:start w:val="1"/>
      <w:numFmt w:val="chineseCounting"/>
      <w:pStyle w:val="4"/>
      <w:suff w:val="nothing"/>
      <w:lvlText w:val="(%2) "/>
      <w:lvlJc w:val="left"/>
      <w:pPr>
        <w:tabs>
          <w:tab w:val="left" w:pos="0"/>
        </w:tabs>
        <w:ind w:left="0" w:firstLine="0"/>
      </w:pPr>
      <w:rPr>
        <w:rFonts w:hint="eastAsia" w:ascii="汉仪仿宋简" w:hAnsi="汉仪仿宋简" w:eastAsia="汉仪仿宋简"/>
      </w:rPr>
    </w:lvl>
    <w:lvl w:ilvl="2" w:tentative="0">
      <w:start w:val="1"/>
      <w:numFmt w:val="decimal"/>
      <w:pStyle w:val="5"/>
      <w:suff w:val="nothing"/>
      <w:lvlText w:val="(%3) "/>
      <w:lvlJc w:val="left"/>
      <w:pPr>
        <w:ind w:left="0" w:firstLine="0"/>
      </w:pPr>
      <w:rPr>
        <w:rFonts w:hint="eastAsia" w:ascii="汉仪仿宋简" w:hAnsi="汉仪仿宋简" w:eastAsia="汉仪仿宋简"/>
      </w:rPr>
    </w:lvl>
    <w:lvl w:ilvl="3" w:tentative="0">
      <w:start w:val="1"/>
      <w:numFmt w:val="upperLetter"/>
      <w:pStyle w:val="6"/>
      <w:suff w:val="nothing"/>
      <w:lvlText w:val="%4．"/>
      <w:lvlJc w:val="left"/>
      <w:pPr>
        <w:tabs>
          <w:tab w:val="left" w:pos="0"/>
        </w:tabs>
        <w:ind w:left="0" w:firstLine="0"/>
      </w:pPr>
      <w:rPr>
        <w:rFonts w:hint="eastAsia" w:ascii="汉仪仿宋简" w:hAnsi="汉仪仿宋简" w:eastAsia="汉仪仿宋简"/>
      </w:rPr>
    </w:lvl>
    <w:lvl w:ilvl="4" w:tentative="0">
      <w:start w:val="1"/>
      <w:numFmt w:val="lowerLetter"/>
      <w:pStyle w:val="7"/>
      <w:suff w:val="nothing"/>
      <w:lvlText w:val="%5．"/>
      <w:lvlJc w:val="left"/>
      <w:pPr>
        <w:tabs>
          <w:tab w:val="left" w:pos="0"/>
        </w:tabs>
        <w:ind w:left="0" w:firstLine="0"/>
      </w:pPr>
      <w:rPr>
        <w:rFonts w:hint="eastAsia" w:ascii="汉仪仿宋简" w:hAnsi="汉仪仿宋简" w:eastAsia="汉仪仿宋简"/>
      </w:rPr>
    </w:lvl>
    <w:lvl w:ilvl="5" w:tentative="0">
      <w:start w:val="1"/>
      <w:numFmt w:val="lowerLetter"/>
      <w:pStyle w:val="8"/>
      <w:suff w:val="nothing"/>
      <w:lvlText w:val="%6）"/>
      <w:lvlJc w:val="left"/>
      <w:pPr>
        <w:ind w:left="0" w:firstLine="0"/>
      </w:pPr>
      <w:rPr>
        <w:rFonts w:hint="eastAsia" w:ascii="汉仪仿宋简" w:hAnsi="汉仪仿宋简" w:eastAsia="汉仪仿宋简"/>
      </w:rPr>
    </w:lvl>
    <w:lvl w:ilvl="6" w:tentative="0">
      <w:start w:val="1"/>
      <w:numFmt w:val="upperRoman"/>
      <w:pStyle w:val="9"/>
      <w:suff w:val="nothing"/>
      <w:lvlText w:val="%7．"/>
      <w:lvlJc w:val="left"/>
      <w:pPr>
        <w:ind w:left="0" w:firstLine="0"/>
      </w:pPr>
      <w:rPr>
        <w:rFonts w:hint="eastAsia" w:ascii="汉仪仿宋简" w:hAnsi="汉仪仿宋简" w:eastAsia="汉仪仿宋简"/>
      </w:rPr>
    </w:lvl>
    <w:lvl w:ilvl="7" w:tentative="0">
      <w:start w:val="1"/>
      <w:numFmt w:val="lowerRoman"/>
      <w:pStyle w:val="10"/>
      <w:suff w:val="nothing"/>
      <w:lvlText w:val="%8．"/>
      <w:lvlJc w:val="left"/>
      <w:pPr>
        <w:ind w:left="0" w:firstLine="0"/>
      </w:pPr>
      <w:rPr>
        <w:rFonts w:hint="eastAsia" w:ascii="汉仪仿宋简" w:hAnsi="汉仪仿宋简" w:eastAsia="汉仪仿宋简"/>
      </w:rPr>
    </w:lvl>
    <w:lvl w:ilvl="8" w:tentative="0">
      <w:start w:val="1"/>
      <w:numFmt w:val="lowerRoman"/>
      <w:pStyle w:val="11"/>
      <w:suff w:val="nothing"/>
      <w:lvlText w:val="%9）"/>
      <w:lvlJc w:val="left"/>
      <w:pPr>
        <w:tabs>
          <w:tab w:val="left" w:pos="0"/>
        </w:tabs>
        <w:ind w:left="0" w:firstLine="0"/>
      </w:pPr>
      <w:rPr>
        <w:rFonts w:hint="eastAsia" w:ascii="汉仪仿宋简" w:hAnsi="汉仪仿宋简" w:eastAsia="汉仪仿宋简"/>
      </w:rPr>
    </w:lvl>
  </w:abstractNum>
  <w:abstractNum w:abstractNumId="16">
    <w:nsid w:val="60BA7A8F"/>
    <w:multiLevelType w:val="singleLevel"/>
    <w:tmpl w:val="60BA7A8F"/>
    <w:lvl w:ilvl="0" w:tentative="0">
      <w:start w:val="1"/>
      <w:numFmt w:val="decimal"/>
      <w:suff w:val="nothing"/>
      <w:lvlText w:val="%1．"/>
      <w:lvlJc w:val="left"/>
      <w:pPr>
        <w:ind w:left="0" w:firstLine="400"/>
      </w:pPr>
      <w:rPr>
        <w:rFonts w:hint="default"/>
      </w:rPr>
    </w:lvl>
  </w:abstractNum>
  <w:num w:numId="1">
    <w:abstractNumId w:val="15"/>
  </w:num>
  <w:num w:numId="2">
    <w:abstractNumId w:val="11"/>
  </w:num>
  <w:num w:numId="3">
    <w:abstractNumId w:val="7"/>
  </w:num>
  <w:num w:numId="4">
    <w:abstractNumId w:val="12"/>
  </w:num>
  <w:num w:numId="5">
    <w:abstractNumId w:val="3"/>
  </w:num>
  <w:num w:numId="6">
    <w:abstractNumId w:val="14"/>
  </w:num>
  <w:num w:numId="7">
    <w:abstractNumId w:val="10"/>
  </w:num>
  <w:num w:numId="8">
    <w:abstractNumId w:val="1"/>
  </w:num>
  <w:num w:numId="9">
    <w:abstractNumId w:val="5"/>
  </w:num>
  <w:num w:numId="10">
    <w:abstractNumId w:val="9"/>
  </w:num>
  <w:num w:numId="11">
    <w:abstractNumId w:val="8"/>
  </w:num>
  <w:num w:numId="12">
    <w:abstractNumId w:val="16"/>
  </w:num>
  <w:num w:numId="13">
    <w:abstractNumId w:val="4"/>
  </w:num>
  <w:num w:numId="14">
    <w:abstractNumId w:val="13"/>
  </w:num>
  <w:num w:numId="15">
    <w:abstractNumId w:val="0"/>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56B88"/>
    <w:rsid w:val="05F45C37"/>
    <w:rsid w:val="064072EB"/>
    <w:rsid w:val="071A1256"/>
    <w:rsid w:val="075C7C95"/>
    <w:rsid w:val="0A6071C9"/>
    <w:rsid w:val="0BE77549"/>
    <w:rsid w:val="13EE774E"/>
    <w:rsid w:val="16835F40"/>
    <w:rsid w:val="18DF05DB"/>
    <w:rsid w:val="19751DD4"/>
    <w:rsid w:val="1F896D6A"/>
    <w:rsid w:val="223E3E3C"/>
    <w:rsid w:val="224D407F"/>
    <w:rsid w:val="29005793"/>
    <w:rsid w:val="2C213C45"/>
    <w:rsid w:val="2CC1297B"/>
    <w:rsid w:val="2E0D0283"/>
    <w:rsid w:val="2EB060C2"/>
    <w:rsid w:val="2ED450D5"/>
    <w:rsid w:val="34FE2942"/>
    <w:rsid w:val="3EDF3E59"/>
    <w:rsid w:val="41AD023F"/>
    <w:rsid w:val="48D41268"/>
    <w:rsid w:val="4F7D74A2"/>
    <w:rsid w:val="526D56B7"/>
    <w:rsid w:val="534A5134"/>
    <w:rsid w:val="53F8619B"/>
    <w:rsid w:val="54610180"/>
    <w:rsid w:val="57072B9A"/>
    <w:rsid w:val="5845652A"/>
    <w:rsid w:val="5902118D"/>
    <w:rsid w:val="5A1F5D26"/>
    <w:rsid w:val="5D4806FF"/>
    <w:rsid w:val="61856B88"/>
    <w:rsid w:val="61A94127"/>
    <w:rsid w:val="63246FF1"/>
    <w:rsid w:val="68F20AA9"/>
    <w:rsid w:val="6D855C8A"/>
    <w:rsid w:val="705B0FA6"/>
    <w:rsid w:val="712E1AFD"/>
    <w:rsid w:val="73B40E35"/>
    <w:rsid w:val="74300A9E"/>
    <w:rsid w:val="74346A6F"/>
    <w:rsid w:val="79733540"/>
    <w:rsid w:val="7CE53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50" w:beforeLines="50" w:after="50" w:afterLines="50" w:line="288" w:lineRule="auto"/>
      <w:ind w:firstLine="480" w:firstLineChars="200"/>
      <w:jc w:val="both"/>
    </w:pPr>
    <w:rPr>
      <w:rFonts w:ascii="汉仪仿宋简" w:hAnsi="汉仪仿宋简" w:eastAsia="汉仪仿宋简" w:cstheme="minorBidi"/>
      <w:kern w:val="2"/>
      <w:sz w:val="28"/>
      <w:szCs w:val="24"/>
      <w:lang w:val="en-US" w:eastAsia="zh-CN" w:bidi="ar-SA"/>
    </w:rPr>
  </w:style>
  <w:style w:type="paragraph" w:styleId="3">
    <w:name w:val="heading 1"/>
    <w:next w:val="1"/>
    <w:qFormat/>
    <w:uiPriority w:val="9"/>
    <w:pPr>
      <w:keepNext/>
      <w:keepLines/>
      <w:numPr>
        <w:ilvl w:val="0"/>
        <w:numId w:val="1"/>
      </w:numPr>
      <w:adjustRightInd w:val="0"/>
      <w:snapToGrid w:val="0"/>
      <w:spacing w:before="100" w:beforeLines="100" w:line="288" w:lineRule="auto"/>
      <w:outlineLvl w:val="0"/>
    </w:pPr>
    <w:rPr>
      <w:rFonts w:ascii="汉仪仿宋简" w:hAnsi="汉仪仿宋简" w:eastAsia="汉仪仿宋简" w:cstheme="minorBidi"/>
      <w:b/>
      <w:bCs/>
      <w:kern w:val="44"/>
      <w:sz w:val="36"/>
      <w:szCs w:val="36"/>
      <w:lang w:val="en-US" w:eastAsia="zh-CN" w:bidi="ar-SA"/>
    </w:rPr>
  </w:style>
  <w:style w:type="paragraph" w:styleId="4">
    <w:name w:val="heading 2"/>
    <w:next w:val="1"/>
    <w:unhideWhenUsed/>
    <w:qFormat/>
    <w:uiPriority w:val="9"/>
    <w:pPr>
      <w:numPr>
        <w:ilvl w:val="1"/>
        <w:numId w:val="1"/>
      </w:numPr>
      <w:adjustRightInd w:val="0"/>
      <w:snapToGrid w:val="0"/>
      <w:spacing w:before="100" w:beforeLines="100" w:line="288" w:lineRule="auto"/>
      <w:outlineLvl w:val="1"/>
    </w:pPr>
    <w:rPr>
      <w:rFonts w:ascii="汉仪仿宋简" w:hAnsi="汉仪仿宋简" w:eastAsia="汉仪仿宋简" w:cstheme="minorBidi"/>
      <w:b/>
      <w:bCs/>
      <w:kern w:val="2"/>
      <w:sz w:val="32"/>
      <w:szCs w:val="32"/>
      <w:lang w:val="en-US" w:eastAsia="zh-CN" w:bidi="ar-SA"/>
    </w:rPr>
  </w:style>
  <w:style w:type="paragraph" w:styleId="5">
    <w:name w:val="heading 3"/>
    <w:next w:val="1"/>
    <w:unhideWhenUsed/>
    <w:qFormat/>
    <w:uiPriority w:val="9"/>
    <w:pPr>
      <w:numPr>
        <w:ilvl w:val="2"/>
        <w:numId w:val="1"/>
      </w:numPr>
      <w:tabs>
        <w:tab w:val="left" w:pos="420"/>
      </w:tabs>
      <w:adjustRightInd w:val="0"/>
      <w:snapToGrid w:val="0"/>
      <w:spacing w:before="100" w:beforeLines="100" w:line="288" w:lineRule="auto"/>
      <w:ind w:firstLine="0"/>
      <w:outlineLvl w:val="2"/>
    </w:pPr>
    <w:rPr>
      <w:rFonts w:ascii="汉仪仿宋简" w:hAnsi="汉仪仿宋简" w:eastAsia="汉仪仿宋简" w:cstheme="minorBidi"/>
      <w:b/>
      <w:kern w:val="2"/>
      <w:sz w:val="30"/>
      <w:szCs w:val="30"/>
      <w:lang w:val="en-US" w:eastAsia="zh-CN" w:bidi="ar-SA"/>
    </w:rPr>
  </w:style>
  <w:style w:type="paragraph" w:styleId="6">
    <w:name w:val="heading 4"/>
    <w:next w:val="1"/>
    <w:unhideWhenUsed/>
    <w:qFormat/>
    <w:uiPriority w:val="9"/>
    <w:pPr>
      <w:numPr>
        <w:ilvl w:val="3"/>
        <w:numId w:val="1"/>
      </w:numPr>
      <w:adjustRightInd w:val="0"/>
      <w:snapToGrid w:val="0"/>
      <w:spacing w:before="100" w:beforeLines="100" w:line="288" w:lineRule="auto"/>
      <w:ind w:firstLine="0"/>
      <w:outlineLvl w:val="3"/>
    </w:pPr>
    <w:rPr>
      <w:rFonts w:ascii="汉仪仿宋简" w:hAnsi="汉仪仿宋简" w:eastAsia="汉仪仿宋简" w:cstheme="minorBidi"/>
      <w:b/>
      <w:bCs/>
      <w:sz w:val="28"/>
      <w:szCs w:val="28"/>
      <w:lang w:val="en-US" w:eastAsia="zh-CN" w:bidi="ar-SA"/>
    </w:rPr>
  </w:style>
  <w:style w:type="paragraph" w:styleId="7">
    <w:name w:val="heading 5"/>
    <w:next w:val="1"/>
    <w:unhideWhenUsed/>
    <w:qFormat/>
    <w:uiPriority w:val="9"/>
    <w:pPr>
      <w:numPr>
        <w:ilvl w:val="4"/>
        <w:numId w:val="1"/>
      </w:numPr>
      <w:tabs>
        <w:tab w:val="left" w:pos="312"/>
        <w:tab w:val="clear" w:pos="0"/>
      </w:tabs>
      <w:adjustRightInd w:val="0"/>
      <w:snapToGrid w:val="0"/>
      <w:spacing w:before="100" w:beforeLines="100" w:line="288" w:lineRule="auto"/>
      <w:ind w:firstLine="0"/>
      <w:outlineLvl w:val="4"/>
    </w:pPr>
    <w:rPr>
      <w:rFonts w:ascii="汉仪仿宋简" w:hAnsi="汉仪仿宋简" w:eastAsia="汉仪仿宋简" w:cstheme="minorBidi"/>
      <w:b/>
      <w:bCs/>
      <w:sz w:val="24"/>
      <w:szCs w:val="24"/>
      <w:lang w:val="en-US" w:eastAsia="zh-CN" w:bidi="ar-SA"/>
    </w:rPr>
  </w:style>
  <w:style w:type="paragraph" w:styleId="8">
    <w:name w:val="heading 6"/>
    <w:next w:val="1"/>
    <w:unhideWhenUsed/>
    <w:qFormat/>
    <w:uiPriority w:val="0"/>
    <w:pPr>
      <w:numPr>
        <w:ilvl w:val="5"/>
        <w:numId w:val="1"/>
      </w:numPr>
      <w:tabs>
        <w:tab w:val="left" w:pos="0"/>
      </w:tabs>
      <w:adjustRightInd w:val="0"/>
      <w:snapToGrid w:val="0"/>
      <w:spacing w:before="100" w:beforeLines="100" w:line="288" w:lineRule="auto"/>
      <w:ind w:firstLine="0"/>
      <w:outlineLvl w:val="5"/>
    </w:pPr>
    <w:rPr>
      <w:rFonts w:ascii="汉仪仿宋简" w:hAnsi="汉仪仿宋简" w:eastAsia="汉仪仿宋简" w:cstheme="minorBidi"/>
      <w:b/>
      <w:bCs/>
      <w:sz w:val="24"/>
      <w:szCs w:val="24"/>
      <w:lang w:val="en-US" w:eastAsia="zh-CN" w:bidi="ar-SA"/>
    </w:rPr>
  </w:style>
  <w:style w:type="paragraph" w:styleId="9">
    <w:name w:val="heading 7"/>
    <w:next w:val="1"/>
    <w:unhideWhenUsed/>
    <w:qFormat/>
    <w:uiPriority w:val="0"/>
    <w:pPr>
      <w:numPr>
        <w:ilvl w:val="6"/>
        <w:numId w:val="1"/>
      </w:numPr>
      <w:tabs>
        <w:tab w:val="left" w:pos="0"/>
        <w:tab w:val="left" w:pos="420"/>
      </w:tabs>
      <w:adjustRightInd w:val="0"/>
      <w:snapToGrid w:val="0"/>
      <w:spacing w:before="100" w:beforeLines="100" w:line="288" w:lineRule="auto"/>
      <w:ind w:firstLine="0"/>
      <w:outlineLvl w:val="6"/>
    </w:pPr>
    <w:rPr>
      <w:rFonts w:ascii="汉仪仿宋简" w:hAnsi="汉仪仿宋简" w:eastAsia="汉仪仿宋简" w:cstheme="minorBidi"/>
      <w:b/>
      <w:bCs/>
      <w:sz w:val="24"/>
      <w:szCs w:val="24"/>
      <w:lang w:val="en-US" w:eastAsia="zh-CN" w:bidi="ar-SA"/>
    </w:rPr>
  </w:style>
  <w:style w:type="paragraph" w:styleId="10">
    <w:name w:val="heading 8"/>
    <w:next w:val="1"/>
    <w:unhideWhenUsed/>
    <w:qFormat/>
    <w:uiPriority w:val="0"/>
    <w:pPr>
      <w:numPr>
        <w:ilvl w:val="7"/>
        <w:numId w:val="1"/>
      </w:numPr>
      <w:tabs>
        <w:tab w:val="left" w:pos="420"/>
      </w:tabs>
      <w:adjustRightInd w:val="0"/>
      <w:snapToGrid w:val="0"/>
      <w:spacing w:before="100" w:beforeLines="100" w:line="288" w:lineRule="auto"/>
      <w:ind w:firstLine="0"/>
      <w:outlineLvl w:val="7"/>
    </w:pPr>
    <w:rPr>
      <w:rFonts w:ascii="汉仪仿宋简" w:hAnsi="汉仪仿宋简" w:eastAsia="汉仪仿宋简" w:cstheme="majorBidi"/>
      <w:b/>
      <w:bCs/>
      <w:sz w:val="24"/>
      <w:szCs w:val="24"/>
      <w:lang w:val="en-US" w:eastAsia="zh-CN" w:bidi="ar-SA"/>
    </w:rPr>
  </w:style>
  <w:style w:type="paragraph" w:styleId="11">
    <w:name w:val="heading 9"/>
    <w:next w:val="1"/>
    <w:unhideWhenUsed/>
    <w:qFormat/>
    <w:uiPriority w:val="0"/>
    <w:pPr>
      <w:numPr>
        <w:ilvl w:val="8"/>
        <w:numId w:val="1"/>
      </w:numPr>
      <w:tabs>
        <w:tab w:val="left" w:pos="420"/>
        <w:tab w:val="clear" w:pos="0"/>
      </w:tabs>
      <w:adjustRightInd w:val="0"/>
      <w:snapToGrid w:val="0"/>
      <w:spacing w:before="100" w:beforeLines="100" w:line="288" w:lineRule="auto"/>
      <w:ind w:firstLine="0"/>
      <w:outlineLvl w:val="8"/>
    </w:pPr>
    <w:rPr>
      <w:rFonts w:ascii="汉仪仿宋简" w:hAnsi="汉仪仿宋简" w:eastAsia="汉仪仿宋简" w:cstheme="majorBidi"/>
      <w:b/>
      <w:bCs/>
      <w:sz w:val="24"/>
      <w:szCs w:val="24"/>
      <w:lang w:val="en-US" w:eastAsia="zh-CN" w:bidi="ar-SA"/>
    </w:rPr>
  </w:style>
  <w:style w:type="character" w:default="1" w:styleId="90">
    <w:name w:val="Default Paragraph Font"/>
    <w:semiHidden/>
    <w:unhideWhenUsed/>
    <w:qFormat/>
    <w:uiPriority w:val="1"/>
  </w:style>
  <w:style w:type="table" w:default="1" w:styleId="88">
    <w:name w:val="Normal Table"/>
    <w:semiHidden/>
    <w:qFormat/>
    <w:uiPriority w:val="0"/>
    <w:tblPr>
      <w:tblCellMar>
        <w:top w:w="0" w:type="dxa"/>
        <w:left w:w="108" w:type="dxa"/>
        <w:bottom w:w="0" w:type="dxa"/>
        <w:right w:w="108" w:type="dxa"/>
      </w:tblCellMar>
    </w:tblPr>
  </w:style>
  <w:style w:type="paragraph" w:styleId="2">
    <w:name w:val="macro"/>
    <w:link w:val="11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50" w:beforeLines="50" w:after="50" w:afterLines="50"/>
      <w:ind w:firstLine="480" w:firstLineChars="200"/>
    </w:pPr>
    <w:rPr>
      <w:rFonts w:ascii="Courier New" w:hAnsi="Courier New" w:eastAsia="宋体" w:cs="Courier New"/>
      <w:kern w:val="2"/>
      <w:sz w:val="24"/>
      <w:szCs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2"/>
      </w:numPr>
      <w:contextualSpacing/>
    </w:pPr>
  </w:style>
  <w:style w:type="paragraph" w:styleId="15">
    <w:name w:val="table of authorities"/>
    <w:basedOn w:val="1"/>
    <w:next w:val="1"/>
    <w:qFormat/>
    <w:uiPriority w:val="0"/>
    <w:pPr>
      <w:ind w:left="420" w:leftChars="200" w:firstLine="0"/>
    </w:pPr>
  </w:style>
  <w:style w:type="paragraph" w:styleId="16">
    <w:name w:val="Note Heading"/>
    <w:basedOn w:val="1"/>
    <w:next w:val="1"/>
    <w:link w:val="136"/>
    <w:qFormat/>
    <w:uiPriority w:val="0"/>
    <w:pPr>
      <w:jc w:val="center"/>
    </w:pPr>
    <w:rPr>
      <w:rFonts w:ascii="汉仪仿宋简" w:hAnsi="汉仪仿宋简" w:eastAsia="汉仪仿宋简"/>
      <w:kern w:val="2"/>
      <w:sz w:val="24"/>
      <w:szCs w:val="24"/>
    </w:rPr>
  </w:style>
  <w:style w:type="paragraph" w:styleId="17">
    <w:name w:val="List Bullet 4"/>
    <w:basedOn w:val="1"/>
    <w:qFormat/>
    <w:uiPriority w:val="0"/>
    <w:pPr>
      <w:numPr>
        <w:ilvl w:val="0"/>
        <w:numId w:val="3"/>
      </w:numPr>
      <w:tabs>
        <w:tab w:val="left" w:pos="1620"/>
      </w:tabs>
      <w:spacing w:before="156" w:after="156"/>
      <w:ind w:hanging="420"/>
    </w:pPr>
    <w:rPr>
      <w:rFonts w:ascii="汉仪仿宋简" w:hAnsi="汉仪仿宋简"/>
    </w:rPr>
  </w:style>
  <w:style w:type="paragraph" w:styleId="18">
    <w:name w:val="index 8"/>
    <w:basedOn w:val="1"/>
    <w:next w:val="1"/>
    <w:qFormat/>
    <w:uiPriority w:val="0"/>
    <w:pPr>
      <w:ind w:left="1400" w:leftChars="1400" w:firstLine="0"/>
    </w:pPr>
  </w:style>
  <w:style w:type="paragraph" w:styleId="19">
    <w:name w:val="E-mail Signature"/>
    <w:basedOn w:val="1"/>
    <w:link w:val="115"/>
    <w:qFormat/>
    <w:uiPriority w:val="0"/>
    <w:rPr>
      <w:rFonts w:ascii="汉仪仿宋简" w:hAnsi="汉仪仿宋简" w:eastAsia="汉仪仿宋简"/>
      <w:kern w:val="2"/>
      <w:sz w:val="24"/>
      <w:szCs w:val="24"/>
    </w:rPr>
  </w:style>
  <w:style w:type="paragraph" w:styleId="20">
    <w:name w:val="List Number"/>
    <w:basedOn w:val="1"/>
    <w:qFormat/>
    <w:uiPriority w:val="0"/>
    <w:pPr>
      <w:numPr>
        <w:ilvl w:val="0"/>
        <w:numId w:val="4"/>
      </w:numPr>
      <w:contextualSpacing/>
    </w:pPr>
  </w:style>
  <w:style w:type="paragraph" w:styleId="21">
    <w:name w:val="Normal Indent"/>
    <w:basedOn w:val="1"/>
    <w:qFormat/>
    <w:uiPriority w:val="0"/>
    <w:pPr>
      <w:ind w:firstLine="420"/>
    </w:pPr>
  </w:style>
  <w:style w:type="paragraph" w:styleId="22">
    <w:name w:val="caption"/>
    <w:basedOn w:val="1"/>
    <w:next w:val="1"/>
    <w:unhideWhenUsed/>
    <w:qFormat/>
    <w:uiPriority w:val="0"/>
    <w:pPr>
      <w:ind w:firstLine="0" w:firstLineChars="0"/>
    </w:pPr>
    <w:rPr>
      <w:sz w:val="20"/>
      <w:szCs w:val="20"/>
    </w:rPr>
  </w:style>
  <w:style w:type="paragraph" w:styleId="23">
    <w:name w:val="index 5"/>
    <w:basedOn w:val="1"/>
    <w:next w:val="1"/>
    <w:qFormat/>
    <w:uiPriority w:val="0"/>
    <w:pPr>
      <w:ind w:left="800" w:leftChars="800" w:firstLine="0"/>
    </w:pPr>
  </w:style>
  <w:style w:type="paragraph" w:styleId="24">
    <w:name w:val="List Bullet"/>
    <w:basedOn w:val="1"/>
    <w:qFormat/>
    <w:uiPriority w:val="0"/>
    <w:pPr>
      <w:numPr>
        <w:ilvl w:val="0"/>
        <w:numId w:val="5"/>
      </w:numPr>
      <w:tabs>
        <w:tab w:val="left" w:pos="420"/>
      </w:tabs>
      <w:spacing w:before="156" w:after="156"/>
      <w:ind w:hanging="420"/>
    </w:pPr>
    <w:rPr>
      <w:rFonts w:ascii="汉仪仿宋简" w:hAnsi="汉仪仿宋简"/>
    </w:rPr>
  </w:style>
  <w:style w:type="paragraph" w:styleId="25">
    <w:name w:val="envelope address"/>
    <w:basedOn w:val="1"/>
    <w:qFormat/>
    <w:uiPriority w:val="0"/>
    <w:pPr>
      <w:framePr w:w="7920" w:h="1980" w:hRule="exact" w:hSpace="180" w:wrap="auto" w:vAnchor="margin" w:hAnchor="page" w:xAlign="center" w:yAlign="bottom"/>
      <w:ind w:left="100" w:leftChars="1400"/>
    </w:pPr>
    <w:rPr>
      <w:rFonts w:ascii="汉仪中宋简" w:hAnsi="汉仪中宋简" w:eastAsia="汉仪中宋简" w:cstheme="majorBidi"/>
    </w:rPr>
  </w:style>
  <w:style w:type="paragraph" w:styleId="26">
    <w:name w:val="Document Map"/>
    <w:basedOn w:val="1"/>
    <w:link w:val="123"/>
    <w:qFormat/>
    <w:uiPriority w:val="0"/>
    <w:rPr>
      <w:rFonts w:ascii="Microsoft YaHei UI" w:hAnsi="汉仪仿宋简" w:eastAsia="Microsoft YaHei UI"/>
      <w:kern w:val="2"/>
      <w:sz w:val="18"/>
      <w:szCs w:val="18"/>
    </w:rPr>
  </w:style>
  <w:style w:type="paragraph" w:styleId="27">
    <w:name w:val="toa heading"/>
    <w:basedOn w:val="1"/>
    <w:next w:val="1"/>
    <w:qFormat/>
    <w:uiPriority w:val="0"/>
    <w:pPr>
      <w:spacing w:before="120"/>
    </w:pPr>
    <w:rPr>
      <w:rFonts w:ascii="汉仪中宋简" w:hAnsi="汉仪中宋简" w:eastAsia="汉仪中宋简" w:cstheme="majorBidi"/>
    </w:rPr>
  </w:style>
  <w:style w:type="paragraph" w:styleId="28">
    <w:name w:val="annotation text"/>
    <w:basedOn w:val="1"/>
    <w:qFormat/>
    <w:uiPriority w:val="0"/>
    <w:pPr>
      <w:ind w:firstLine="0" w:firstLineChars="0"/>
      <w:jc w:val="left"/>
    </w:pPr>
  </w:style>
  <w:style w:type="paragraph" w:styleId="29">
    <w:name w:val="index 6"/>
    <w:basedOn w:val="1"/>
    <w:next w:val="1"/>
    <w:qFormat/>
    <w:uiPriority w:val="0"/>
    <w:pPr>
      <w:ind w:left="1000" w:leftChars="1000" w:firstLine="0"/>
    </w:pPr>
  </w:style>
  <w:style w:type="paragraph" w:styleId="30">
    <w:name w:val="Salutation"/>
    <w:basedOn w:val="1"/>
    <w:next w:val="1"/>
    <w:qFormat/>
    <w:uiPriority w:val="0"/>
    <w:pPr>
      <w:ind w:firstLine="0" w:firstLineChars="0"/>
    </w:pPr>
    <w:rPr>
      <w:b/>
      <w:sz w:val="28"/>
      <w:szCs w:val="28"/>
    </w:rPr>
  </w:style>
  <w:style w:type="paragraph" w:styleId="31">
    <w:name w:val="Body Text 3"/>
    <w:basedOn w:val="1"/>
    <w:link w:val="129"/>
    <w:qFormat/>
    <w:uiPriority w:val="0"/>
    <w:pPr>
      <w:spacing w:after="120"/>
    </w:pPr>
    <w:rPr>
      <w:rFonts w:ascii="汉仪仿宋简" w:hAnsi="汉仪仿宋简" w:eastAsia="汉仪仿宋简"/>
      <w:kern w:val="2"/>
      <w:sz w:val="16"/>
      <w:szCs w:val="16"/>
    </w:rPr>
  </w:style>
  <w:style w:type="paragraph" w:styleId="32">
    <w:name w:val="Closing"/>
    <w:basedOn w:val="1"/>
    <w:link w:val="117"/>
    <w:qFormat/>
    <w:uiPriority w:val="0"/>
    <w:pPr>
      <w:ind w:left="100" w:leftChars="2100"/>
    </w:pPr>
    <w:rPr>
      <w:rFonts w:ascii="汉仪仿宋简" w:hAnsi="汉仪仿宋简" w:eastAsia="汉仪仿宋简"/>
      <w:kern w:val="2"/>
      <w:sz w:val="24"/>
      <w:szCs w:val="24"/>
    </w:rPr>
  </w:style>
  <w:style w:type="paragraph" w:styleId="33">
    <w:name w:val="List Bullet 3"/>
    <w:basedOn w:val="1"/>
    <w:qFormat/>
    <w:uiPriority w:val="0"/>
    <w:pPr>
      <w:numPr>
        <w:ilvl w:val="0"/>
        <w:numId w:val="6"/>
      </w:numPr>
      <w:spacing w:before="156" w:after="156"/>
      <w:ind w:left="1140" w:hanging="420" w:firstLineChars="0"/>
    </w:pPr>
    <w:rPr>
      <w:rFonts w:ascii="汉仪仿宋简" w:hAnsi="汉仪仿宋简"/>
    </w:rPr>
  </w:style>
  <w:style w:type="paragraph" w:styleId="34">
    <w:name w:val="Body Text"/>
    <w:basedOn w:val="1"/>
    <w:link w:val="130"/>
    <w:qFormat/>
    <w:uiPriority w:val="0"/>
    <w:pPr>
      <w:spacing w:after="50" w:afterLines="50" w:line="288" w:lineRule="auto"/>
      <w:ind w:firstLine="961"/>
    </w:pPr>
    <w:rPr>
      <w:rFonts w:ascii="汉仪仿宋简" w:hAnsi="汉仪仿宋简" w:eastAsia="汉仪仿宋简"/>
      <w:sz w:val="24"/>
      <w:szCs w:val="24"/>
    </w:rPr>
  </w:style>
  <w:style w:type="paragraph" w:styleId="35">
    <w:name w:val="Body Text Indent"/>
    <w:basedOn w:val="1"/>
    <w:link w:val="132"/>
    <w:qFormat/>
    <w:uiPriority w:val="0"/>
    <w:pPr>
      <w:spacing w:after="120"/>
      <w:ind w:left="420" w:leftChars="200"/>
    </w:pPr>
    <w:rPr>
      <w:rFonts w:ascii="汉仪仿宋简" w:hAnsi="汉仪仿宋简" w:eastAsia="汉仪仿宋简"/>
      <w:kern w:val="2"/>
      <w:sz w:val="24"/>
      <w:szCs w:val="24"/>
    </w:rPr>
  </w:style>
  <w:style w:type="paragraph" w:styleId="36">
    <w:name w:val="List Number 3"/>
    <w:basedOn w:val="1"/>
    <w:qFormat/>
    <w:uiPriority w:val="0"/>
    <w:pPr>
      <w:numPr>
        <w:ilvl w:val="0"/>
        <w:numId w:val="7"/>
      </w:numPr>
      <w:contextualSpacing/>
    </w:pPr>
  </w:style>
  <w:style w:type="paragraph" w:styleId="37">
    <w:name w:val="List 2"/>
    <w:basedOn w:val="1"/>
    <w:qFormat/>
    <w:uiPriority w:val="0"/>
    <w:pPr>
      <w:ind w:left="100" w:leftChars="200" w:hanging="200" w:hangingChars="200"/>
      <w:contextualSpacing/>
    </w:pPr>
  </w:style>
  <w:style w:type="paragraph" w:styleId="38">
    <w:name w:val="List Continue"/>
    <w:basedOn w:val="1"/>
    <w:qFormat/>
    <w:uiPriority w:val="0"/>
    <w:pPr>
      <w:spacing w:after="120"/>
      <w:ind w:left="420" w:leftChars="200"/>
      <w:contextualSpacing/>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8"/>
      </w:numPr>
      <w:spacing w:before="156" w:after="156"/>
      <w:ind w:left="839" w:hanging="420" w:firstLineChars="0"/>
    </w:pPr>
    <w:rPr>
      <w:rFonts w:ascii="汉仪仿宋简" w:hAnsi="汉仪仿宋简"/>
    </w:rPr>
  </w:style>
  <w:style w:type="paragraph" w:styleId="41">
    <w:name w:val="HTML Address"/>
    <w:basedOn w:val="1"/>
    <w:link w:val="111"/>
    <w:qFormat/>
    <w:uiPriority w:val="0"/>
    <w:rPr>
      <w:rFonts w:ascii="汉仪仿宋简" w:hAnsi="汉仪仿宋简" w:eastAsia="汉仪仿宋简"/>
      <w:i/>
      <w:iCs/>
      <w:kern w:val="2"/>
      <w:sz w:val="24"/>
      <w:szCs w:val="24"/>
    </w:rPr>
  </w:style>
  <w:style w:type="paragraph" w:styleId="42">
    <w:name w:val="index 4"/>
    <w:basedOn w:val="1"/>
    <w:next w:val="1"/>
    <w:qFormat/>
    <w:uiPriority w:val="0"/>
    <w:pPr>
      <w:ind w:left="600" w:leftChars="600" w:firstLine="0"/>
    </w:pPr>
  </w:style>
  <w:style w:type="paragraph" w:styleId="43">
    <w:name w:val="toc 5"/>
    <w:basedOn w:val="1"/>
    <w:next w:val="1"/>
    <w:qFormat/>
    <w:uiPriority w:val="0"/>
    <w:pPr>
      <w:ind w:left="2154" w:firstLine="0" w:firstLineChars="0"/>
    </w:pPr>
  </w:style>
  <w:style w:type="paragraph" w:styleId="44">
    <w:name w:val="toc 3"/>
    <w:basedOn w:val="1"/>
    <w:next w:val="1"/>
    <w:link w:val="101"/>
    <w:qFormat/>
    <w:uiPriority w:val="0"/>
    <w:pPr>
      <w:ind w:left="1587" w:hanging="454" w:firstLineChars="0"/>
    </w:pPr>
    <w:rPr>
      <w:rFonts w:ascii="汉仪仿宋简" w:hAnsi="汉仪仿宋简" w:eastAsia="汉仪仿宋简"/>
    </w:rPr>
  </w:style>
  <w:style w:type="paragraph" w:styleId="45">
    <w:name w:val="Plain Text"/>
    <w:basedOn w:val="1"/>
    <w:link w:val="114"/>
    <w:qFormat/>
    <w:uiPriority w:val="0"/>
    <w:rPr>
      <w:rFonts w:ascii="汉仪仿宋简" w:hAnsi="Courier New" w:cs="Courier New"/>
      <w:kern w:val="2"/>
      <w:sz w:val="24"/>
      <w:szCs w:val="24"/>
    </w:rPr>
  </w:style>
  <w:style w:type="paragraph" w:styleId="46">
    <w:name w:val="List Bullet 5"/>
    <w:basedOn w:val="1"/>
    <w:qFormat/>
    <w:uiPriority w:val="0"/>
    <w:pPr>
      <w:numPr>
        <w:ilvl w:val="0"/>
        <w:numId w:val="9"/>
      </w:numPr>
      <w:spacing w:before="156" w:after="156"/>
      <w:ind w:hanging="420"/>
    </w:pPr>
    <w:rPr>
      <w:rFonts w:ascii="汉仪仿宋简" w:hAnsi="汉仪仿宋简"/>
    </w:rPr>
  </w:style>
  <w:style w:type="paragraph" w:styleId="47">
    <w:name w:val="List Number 4"/>
    <w:basedOn w:val="1"/>
    <w:qFormat/>
    <w:uiPriority w:val="0"/>
    <w:pPr>
      <w:numPr>
        <w:ilvl w:val="0"/>
        <w:numId w:val="10"/>
      </w:numPr>
      <w:contextualSpacing/>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firstLine="0"/>
    </w:pPr>
  </w:style>
  <w:style w:type="paragraph" w:styleId="50">
    <w:name w:val="Date"/>
    <w:basedOn w:val="51"/>
    <w:next w:val="1"/>
    <w:link w:val="121"/>
    <w:qFormat/>
    <w:uiPriority w:val="0"/>
    <w:rPr>
      <w:rFonts w:ascii="汉仪仿宋简" w:hAnsi="汉仪仿宋简" w:eastAsia="汉仪仿宋简" w:cstheme="minorBidi"/>
      <w:kern w:val="2"/>
      <w:sz w:val="28"/>
      <w:szCs w:val="24"/>
      <w:lang w:val="en-US" w:eastAsia="zh-CN" w:bidi="ar-SA"/>
    </w:rPr>
  </w:style>
  <w:style w:type="paragraph" w:styleId="51">
    <w:name w:val="Signature"/>
    <w:basedOn w:val="1"/>
    <w:qFormat/>
    <w:uiPriority w:val="0"/>
    <w:pPr>
      <w:ind w:firstLine="0" w:firstLineChars="0"/>
      <w:jc w:val="right"/>
    </w:pPr>
    <w:rPr>
      <w:b/>
      <w:sz w:val="28"/>
    </w:rPr>
  </w:style>
  <w:style w:type="paragraph" w:styleId="52">
    <w:name w:val="Body Text Indent 2"/>
    <w:basedOn w:val="1"/>
    <w:link w:val="134"/>
    <w:qFormat/>
    <w:uiPriority w:val="0"/>
    <w:pPr>
      <w:spacing w:after="120" w:line="480" w:lineRule="auto"/>
      <w:ind w:left="420" w:leftChars="200"/>
    </w:pPr>
    <w:rPr>
      <w:rFonts w:ascii="汉仪仿宋简" w:hAnsi="汉仪仿宋简" w:eastAsia="汉仪仿宋简"/>
      <w:kern w:val="2"/>
      <w:sz w:val="24"/>
      <w:szCs w:val="24"/>
    </w:rPr>
  </w:style>
  <w:style w:type="paragraph" w:styleId="53">
    <w:name w:val="endnote text"/>
    <w:basedOn w:val="1"/>
    <w:qFormat/>
    <w:uiPriority w:val="0"/>
    <w:pPr>
      <w:ind w:firstLine="0" w:firstLineChars="0"/>
      <w:jc w:val="left"/>
    </w:pPr>
  </w:style>
  <w:style w:type="paragraph" w:styleId="54">
    <w:name w:val="List Continue 5"/>
    <w:basedOn w:val="1"/>
    <w:qFormat/>
    <w:uiPriority w:val="0"/>
    <w:pPr>
      <w:spacing w:after="120"/>
      <w:ind w:left="2100" w:leftChars="1000"/>
      <w:contextualSpacing/>
    </w:pPr>
  </w:style>
  <w:style w:type="paragraph" w:styleId="55">
    <w:name w:val="Balloon Text"/>
    <w:basedOn w:val="1"/>
    <w:qFormat/>
    <w:uiPriority w:val="0"/>
    <w:pPr>
      <w:ind w:firstLine="0" w:firstLineChars="0"/>
    </w:pPr>
    <w:rPr>
      <w:sz w:val="18"/>
    </w:rPr>
  </w:style>
  <w:style w:type="paragraph" w:styleId="56">
    <w:name w:val="footer"/>
    <w:basedOn w:val="1"/>
    <w:link w:val="137"/>
    <w:qFormat/>
    <w:uiPriority w:val="0"/>
    <w:pPr>
      <w:tabs>
        <w:tab w:val="center" w:pos="4153"/>
        <w:tab w:val="right" w:pos="8306"/>
      </w:tabs>
      <w:ind w:firstLine="0" w:firstLineChars="0"/>
      <w:jc w:val="center"/>
    </w:pPr>
    <w:rPr>
      <w:sz w:val="18"/>
    </w:rPr>
  </w:style>
  <w:style w:type="paragraph" w:styleId="57">
    <w:name w:val="envelope return"/>
    <w:basedOn w:val="1"/>
    <w:qFormat/>
    <w:uiPriority w:val="0"/>
    <w:rPr>
      <w:rFonts w:ascii="汉仪中宋简" w:hAnsi="汉仪中宋简" w:eastAsia="汉仪中宋简" w:cstheme="majorBidi"/>
    </w:rPr>
  </w:style>
  <w:style w:type="paragraph" w:styleId="5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ind w:firstLine="0" w:firstLineChars="0"/>
      <w:jc w:val="center"/>
    </w:pPr>
    <w:rPr>
      <w:sz w:val="18"/>
    </w:rPr>
  </w:style>
  <w:style w:type="paragraph" w:styleId="59">
    <w:name w:val="toc 1"/>
    <w:basedOn w:val="1"/>
    <w:next w:val="1"/>
    <w:qFormat/>
    <w:uiPriority w:val="0"/>
    <w:pPr>
      <w:ind w:left="624" w:hanging="624" w:firstLineChars="0"/>
    </w:pPr>
  </w:style>
  <w:style w:type="paragraph" w:styleId="60">
    <w:name w:val="List Continue 4"/>
    <w:basedOn w:val="1"/>
    <w:qFormat/>
    <w:uiPriority w:val="0"/>
    <w:pPr>
      <w:spacing w:after="120"/>
      <w:ind w:left="1680" w:leftChars="800"/>
      <w:contextualSpacing/>
    </w:pPr>
  </w:style>
  <w:style w:type="paragraph" w:styleId="61">
    <w:name w:val="toc 4"/>
    <w:basedOn w:val="1"/>
    <w:next w:val="1"/>
    <w:qFormat/>
    <w:uiPriority w:val="0"/>
    <w:pPr>
      <w:ind w:left="2098" w:hanging="567" w:firstLineChars="0"/>
    </w:pPr>
  </w:style>
  <w:style w:type="paragraph" w:styleId="62">
    <w:name w:val="index heading"/>
    <w:basedOn w:val="1"/>
    <w:next w:val="63"/>
    <w:qFormat/>
    <w:uiPriority w:val="0"/>
    <w:rPr>
      <w:rFonts w:ascii="汉仪中宋简" w:hAnsi="汉仪中宋简" w:eastAsia="汉仪中宋简" w:cstheme="majorBidi"/>
      <w:b/>
      <w:bCs/>
    </w:rPr>
  </w:style>
  <w:style w:type="paragraph" w:styleId="63">
    <w:name w:val="index 1"/>
    <w:basedOn w:val="1"/>
    <w:next w:val="1"/>
    <w:qFormat/>
    <w:uiPriority w:val="0"/>
    <w:pPr>
      <w:ind w:firstLine="0"/>
    </w:pPr>
  </w:style>
  <w:style w:type="paragraph" w:styleId="64">
    <w:name w:val="Subtitle"/>
    <w:basedOn w:val="65"/>
    <w:qFormat/>
    <w:uiPriority w:val="0"/>
    <w:pPr>
      <w:adjustRightInd w:val="0"/>
      <w:snapToGrid w:val="0"/>
      <w:spacing w:after="150" w:afterLines="150"/>
      <w:jc w:val="center"/>
      <w:outlineLvl w:val="1"/>
    </w:pPr>
    <w:rPr>
      <w:rFonts w:ascii="汉仪仿宋简" w:hAnsi="汉仪仿宋简" w:eastAsia="汉仪仿宋简" w:cs="Times New Roman"/>
      <w:bCs/>
      <w:kern w:val="2"/>
      <w:sz w:val="36"/>
      <w:szCs w:val="36"/>
      <w:lang w:val="en-US" w:eastAsia="zh-CN" w:bidi="ar-SA"/>
    </w:rPr>
  </w:style>
  <w:style w:type="paragraph" w:styleId="65">
    <w:name w:val="Title"/>
    <w:qFormat/>
    <w:uiPriority w:val="10"/>
    <w:pPr>
      <w:adjustRightInd w:val="0"/>
      <w:snapToGrid w:val="0"/>
      <w:spacing w:after="150" w:afterLines="150"/>
      <w:jc w:val="center"/>
      <w:outlineLvl w:val="0"/>
    </w:pPr>
    <w:rPr>
      <w:rFonts w:ascii="汉仪仿宋简" w:hAnsi="汉仪仿宋简" w:eastAsia="汉仪仿宋简" w:cstheme="minorBidi"/>
      <w:b/>
      <w:sz w:val="48"/>
      <w:szCs w:val="48"/>
      <w:lang w:val="en-US" w:eastAsia="zh-CN" w:bidi="ar-SA"/>
    </w:rPr>
  </w:style>
  <w:style w:type="paragraph" w:styleId="66">
    <w:name w:val="List Number 5"/>
    <w:basedOn w:val="1"/>
    <w:qFormat/>
    <w:uiPriority w:val="0"/>
    <w:pPr>
      <w:numPr>
        <w:ilvl w:val="0"/>
        <w:numId w:val="11"/>
      </w:numPr>
      <w:contextualSpacing/>
    </w:pPr>
  </w:style>
  <w:style w:type="paragraph" w:styleId="67">
    <w:name w:val="List"/>
    <w:basedOn w:val="1"/>
    <w:qFormat/>
    <w:uiPriority w:val="0"/>
    <w:pPr>
      <w:ind w:left="200" w:hanging="200" w:hangingChars="200"/>
      <w:contextualSpacing/>
    </w:pPr>
  </w:style>
  <w:style w:type="paragraph" w:styleId="68">
    <w:name w:val="footnote text"/>
    <w:basedOn w:val="1"/>
    <w:qFormat/>
    <w:uiPriority w:val="0"/>
    <w:pPr>
      <w:ind w:firstLine="0" w:firstLineChars="0"/>
      <w:jc w:val="left"/>
    </w:pPr>
    <w:rPr>
      <w:sz w:val="18"/>
      <w:szCs w:val="18"/>
    </w:rPr>
  </w:style>
  <w:style w:type="paragraph" w:styleId="69">
    <w:name w:val="toc 6"/>
    <w:basedOn w:val="1"/>
    <w:next w:val="1"/>
    <w:qFormat/>
    <w:uiPriority w:val="0"/>
    <w:pPr>
      <w:ind w:left="2100" w:leftChars="1000"/>
    </w:pPr>
  </w:style>
  <w:style w:type="paragraph" w:styleId="70">
    <w:name w:val="List 5"/>
    <w:basedOn w:val="1"/>
    <w:qFormat/>
    <w:uiPriority w:val="0"/>
    <w:pPr>
      <w:ind w:left="100" w:leftChars="800" w:hanging="200" w:hangingChars="200"/>
      <w:contextualSpacing/>
    </w:pPr>
  </w:style>
  <w:style w:type="paragraph" w:styleId="71">
    <w:name w:val="Body Text Indent 3"/>
    <w:basedOn w:val="1"/>
    <w:link w:val="135"/>
    <w:qFormat/>
    <w:uiPriority w:val="0"/>
    <w:pPr>
      <w:spacing w:after="120"/>
      <w:ind w:left="420" w:leftChars="200"/>
    </w:pPr>
    <w:rPr>
      <w:rFonts w:ascii="汉仪仿宋简" w:hAnsi="汉仪仿宋简" w:eastAsia="汉仪仿宋简"/>
      <w:kern w:val="2"/>
      <w:sz w:val="16"/>
      <w:szCs w:val="16"/>
    </w:rPr>
  </w:style>
  <w:style w:type="paragraph" w:styleId="72">
    <w:name w:val="index 7"/>
    <w:basedOn w:val="1"/>
    <w:next w:val="1"/>
    <w:qFormat/>
    <w:uiPriority w:val="0"/>
    <w:pPr>
      <w:ind w:left="1200" w:leftChars="1200" w:firstLine="0"/>
    </w:pPr>
  </w:style>
  <w:style w:type="paragraph" w:styleId="73">
    <w:name w:val="index 9"/>
    <w:basedOn w:val="1"/>
    <w:next w:val="1"/>
    <w:qFormat/>
    <w:uiPriority w:val="0"/>
    <w:pPr>
      <w:ind w:left="1600" w:leftChars="1600" w:firstLine="0"/>
    </w:pPr>
  </w:style>
  <w:style w:type="paragraph" w:styleId="74">
    <w:name w:val="table of figures"/>
    <w:basedOn w:val="1"/>
    <w:next w:val="1"/>
    <w:qFormat/>
    <w:uiPriority w:val="0"/>
    <w:pPr>
      <w:ind w:leftChars="200" w:hanging="200" w:hangingChars="200"/>
    </w:pPr>
  </w:style>
  <w:style w:type="paragraph" w:styleId="75">
    <w:name w:val="toc 2"/>
    <w:basedOn w:val="1"/>
    <w:next w:val="1"/>
    <w:qFormat/>
    <w:uiPriority w:val="0"/>
    <w:pPr>
      <w:ind w:left="1191" w:hanging="567" w:firstLineChars="0"/>
    </w:pPr>
  </w:style>
  <w:style w:type="paragraph" w:styleId="76">
    <w:name w:val="toc 9"/>
    <w:basedOn w:val="1"/>
    <w:next w:val="1"/>
    <w:qFormat/>
    <w:uiPriority w:val="0"/>
    <w:pPr>
      <w:ind w:left="3360" w:leftChars="1600"/>
    </w:pPr>
  </w:style>
  <w:style w:type="paragraph" w:styleId="77">
    <w:name w:val="Body Text 2"/>
    <w:basedOn w:val="1"/>
    <w:link w:val="128"/>
    <w:qFormat/>
    <w:uiPriority w:val="0"/>
    <w:pPr>
      <w:spacing w:after="120" w:line="480" w:lineRule="auto"/>
    </w:pPr>
    <w:rPr>
      <w:rFonts w:ascii="汉仪仿宋简" w:hAnsi="汉仪仿宋简" w:eastAsia="汉仪仿宋简"/>
      <w:kern w:val="2"/>
      <w:sz w:val="24"/>
      <w:szCs w:val="24"/>
    </w:rPr>
  </w:style>
  <w:style w:type="paragraph" w:styleId="78">
    <w:name w:val="List 4"/>
    <w:basedOn w:val="1"/>
    <w:qFormat/>
    <w:uiPriority w:val="0"/>
    <w:pPr>
      <w:ind w:left="100" w:leftChars="600" w:hanging="200" w:hangingChars="200"/>
      <w:contextualSpacing/>
    </w:pPr>
  </w:style>
  <w:style w:type="paragraph" w:styleId="79">
    <w:name w:val="List Continue 2"/>
    <w:basedOn w:val="1"/>
    <w:qFormat/>
    <w:uiPriority w:val="0"/>
    <w:pPr>
      <w:spacing w:after="120"/>
      <w:ind w:left="840" w:leftChars="400"/>
      <w:contextualSpacing/>
    </w:pPr>
  </w:style>
  <w:style w:type="paragraph" w:styleId="80">
    <w:name w:val="Message Header"/>
    <w:basedOn w:val="1"/>
    <w:link w:val="12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汉仪中宋简" w:hAnsi="汉仪中宋简" w:eastAsia="汉仪中宋简" w:cstheme="majorBidi"/>
      <w:kern w:val="2"/>
      <w:sz w:val="24"/>
      <w:szCs w:val="24"/>
      <w:shd w:val="pct20" w:color="auto" w:fill="auto"/>
    </w:rPr>
  </w:style>
  <w:style w:type="paragraph" w:styleId="81">
    <w:name w:val="HTML Preformatted"/>
    <w:basedOn w:val="1"/>
    <w:link w:val="112"/>
    <w:qFormat/>
    <w:uiPriority w:val="0"/>
    <w:rPr>
      <w:rFonts w:ascii="Courier New" w:hAnsi="Courier New" w:eastAsia="汉仪仿宋简" w:cs="Courier New"/>
      <w:kern w:val="2"/>
    </w:rPr>
  </w:style>
  <w:style w:type="paragraph" w:styleId="82">
    <w:name w:val="Normal (Web)"/>
    <w:basedOn w:val="1"/>
    <w:qFormat/>
    <w:uiPriority w:val="0"/>
    <w:pPr>
      <w:ind w:firstLine="960"/>
    </w:pPr>
  </w:style>
  <w:style w:type="paragraph" w:styleId="83">
    <w:name w:val="List Continue 3"/>
    <w:basedOn w:val="1"/>
    <w:qFormat/>
    <w:uiPriority w:val="0"/>
    <w:pPr>
      <w:spacing w:after="120"/>
      <w:ind w:left="1260" w:leftChars="600"/>
      <w:contextualSpacing/>
    </w:pPr>
  </w:style>
  <w:style w:type="paragraph" w:styleId="84">
    <w:name w:val="index 2"/>
    <w:basedOn w:val="1"/>
    <w:next w:val="1"/>
    <w:qFormat/>
    <w:uiPriority w:val="0"/>
    <w:pPr>
      <w:ind w:left="200" w:leftChars="200" w:firstLine="0"/>
    </w:pPr>
  </w:style>
  <w:style w:type="paragraph" w:styleId="85">
    <w:name w:val="annotation subject"/>
    <w:basedOn w:val="28"/>
    <w:next w:val="28"/>
    <w:qFormat/>
    <w:uiPriority w:val="0"/>
    <w:rPr>
      <w:b/>
    </w:rPr>
  </w:style>
  <w:style w:type="paragraph" w:styleId="86">
    <w:name w:val="Body Text First Indent"/>
    <w:basedOn w:val="34"/>
    <w:link w:val="131"/>
    <w:qFormat/>
    <w:uiPriority w:val="0"/>
    <w:pPr>
      <w:widowControl w:val="0"/>
      <w:adjustRightInd w:val="0"/>
      <w:snapToGrid w:val="0"/>
      <w:spacing w:before="50" w:beforeLines="50" w:after="120"/>
      <w:ind w:firstLine="420" w:firstLineChars="100"/>
      <w:jc w:val="both"/>
    </w:pPr>
    <w:rPr>
      <w:rFonts w:ascii="汉仪仿宋简" w:hAnsi="汉仪仿宋简" w:eastAsia="汉仪仿宋简"/>
      <w:kern w:val="2"/>
      <w:sz w:val="24"/>
      <w:szCs w:val="24"/>
    </w:rPr>
  </w:style>
  <w:style w:type="paragraph" w:styleId="87">
    <w:name w:val="Body Text First Indent 2"/>
    <w:basedOn w:val="35"/>
    <w:link w:val="133"/>
    <w:qFormat/>
    <w:uiPriority w:val="0"/>
    <w:pPr>
      <w:ind w:firstLine="420"/>
    </w:pPr>
    <w:rPr>
      <w:rFonts w:ascii="汉仪仿宋简" w:hAnsi="汉仪仿宋简" w:eastAsia="汉仪仿宋简"/>
      <w:kern w:val="2"/>
      <w:sz w:val="24"/>
      <w:szCs w:val="24"/>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autoRedefine/>
    <w:qFormat/>
    <w:uiPriority w:val="22"/>
    <w:rPr>
      <w:rFonts w:ascii="汉仪仿宋简" w:hAnsi="汉仪仿宋简" w:eastAsia="汉仪仿宋简"/>
      <w:b/>
      <w:color w:val="auto"/>
      <w:u w:val="none"/>
    </w:rPr>
  </w:style>
  <w:style w:type="character" w:styleId="92">
    <w:name w:val="endnote reference"/>
    <w:basedOn w:val="90"/>
    <w:autoRedefine/>
    <w:qFormat/>
    <w:uiPriority w:val="0"/>
    <w:rPr>
      <w:vertAlign w:val="superscript"/>
    </w:rPr>
  </w:style>
  <w:style w:type="character" w:styleId="93">
    <w:name w:val="page number"/>
    <w:basedOn w:val="90"/>
    <w:autoRedefine/>
    <w:qFormat/>
    <w:uiPriority w:val="0"/>
    <w:rPr>
      <w:rFonts w:ascii="汉仪仿宋简" w:hAnsi="汉仪仿宋简" w:eastAsia="汉仪仿宋简"/>
      <w:color w:val="070707"/>
      <w:sz w:val="21"/>
      <w:szCs w:val="21"/>
      <w14:reflection w14:blurRad="0" w14:stA="100000" w14:stPos="0" w14:endA="0" w14:endPos="100000" w14:dist="50800" w14:dir="0" w14:fadeDir="0" w14:sx="0" w14:sy="0" w14:kx="0" w14:ky="0" w14:algn="b"/>
    </w:rPr>
  </w:style>
  <w:style w:type="character" w:styleId="94">
    <w:name w:val="FollowedHyperlink"/>
    <w:basedOn w:val="90"/>
    <w:autoRedefine/>
    <w:qFormat/>
    <w:uiPriority w:val="0"/>
    <w:rPr>
      <w:color w:val="800080"/>
      <w:u w:val="single"/>
    </w:rPr>
  </w:style>
  <w:style w:type="character" w:styleId="95">
    <w:name w:val="Emphasis"/>
    <w:basedOn w:val="90"/>
    <w:autoRedefine/>
    <w:qFormat/>
    <w:uiPriority w:val="20"/>
    <w:rPr>
      <w:rFonts w:ascii="汉仪仿宋简" w:hAnsi="汉仪仿宋简" w:eastAsia="汉仪仿宋简"/>
      <w:b/>
      <w:bCs/>
      <w:i/>
      <w:color w:val="C00000"/>
      <w:sz w:val="24"/>
      <w:szCs w:val="24"/>
    </w:rPr>
  </w:style>
  <w:style w:type="character" w:styleId="96">
    <w:name w:val="Hyperlink"/>
    <w:basedOn w:val="90"/>
    <w:autoRedefine/>
    <w:qFormat/>
    <w:uiPriority w:val="0"/>
    <w:rPr>
      <w:rFonts w:ascii="汉仪仿宋简" w:hAnsi="汉仪仿宋简" w:eastAsia="汉仪仿宋简"/>
      <w:color w:val="0000FF"/>
      <w:u w:val="single"/>
    </w:rPr>
  </w:style>
  <w:style w:type="character" w:styleId="97">
    <w:name w:val="annotation reference"/>
    <w:basedOn w:val="90"/>
    <w:autoRedefine/>
    <w:qFormat/>
    <w:uiPriority w:val="0"/>
    <w:rPr>
      <w:sz w:val="21"/>
    </w:rPr>
  </w:style>
  <w:style w:type="character" w:styleId="98">
    <w:name w:val="footnote reference"/>
    <w:basedOn w:val="90"/>
    <w:autoRedefine/>
    <w:qFormat/>
    <w:uiPriority w:val="0"/>
    <w:rPr>
      <w:vertAlign w:val="superscript"/>
    </w:rPr>
  </w:style>
  <w:style w:type="character" w:customStyle="1" w:styleId="99">
    <w:name w:val="font31"/>
    <w:basedOn w:val="90"/>
    <w:qFormat/>
    <w:uiPriority w:val="0"/>
    <w:rPr>
      <w:rFonts w:ascii="宋体" w:hAnsi="宋体" w:eastAsia="宋体" w:cs="宋体"/>
      <w:color w:val="000000"/>
      <w:sz w:val="24"/>
      <w:szCs w:val="24"/>
      <w:u w:val="none"/>
    </w:rPr>
  </w:style>
  <w:style w:type="paragraph" w:customStyle="1" w:styleId="100">
    <w:name w:val="目录标题"/>
    <w:qFormat/>
    <w:uiPriority w:val="0"/>
    <w:pPr>
      <w:adjustRightInd w:val="0"/>
      <w:snapToGrid w:val="0"/>
      <w:jc w:val="center"/>
    </w:pPr>
    <w:rPr>
      <w:rFonts w:ascii="汉仪仿宋简" w:hAnsi="汉仪仿宋简" w:eastAsia="汉仪仿宋简" w:cstheme="minorBidi"/>
      <w:b/>
      <w:bCs/>
      <w:sz w:val="32"/>
      <w:szCs w:val="32"/>
      <w:lang w:val="en-US" w:eastAsia="zh-CN" w:bidi="ar-SA"/>
    </w:rPr>
  </w:style>
  <w:style w:type="character" w:customStyle="1" w:styleId="101">
    <w:name w:val="TOC 3 字符"/>
    <w:link w:val="44"/>
    <w:autoRedefine/>
    <w:qFormat/>
    <w:uiPriority w:val="0"/>
    <w:rPr>
      <w:rFonts w:ascii="汉仪仿宋简" w:hAnsi="汉仪仿宋简" w:eastAsia="汉仪仿宋简"/>
    </w:rPr>
  </w:style>
  <w:style w:type="paragraph" w:customStyle="1" w:styleId="102">
    <w:name w:val="题注1"/>
    <w:basedOn w:val="1"/>
    <w:qFormat/>
    <w:uiPriority w:val="0"/>
    <w:pPr>
      <w:ind w:firstLine="0" w:firstLineChars="0"/>
    </w:pPr>
    <w:rPr>
      <w:sz w:val="20"/>
      <w:szCs w:val="20"/>
    </w:rPr>
  </w:style>
  <w:style w:type="paragraph" w:customStyle="1" w:styleId="103">
    <w:name w:val="文档说明标题"/>
    <w:next w:val="1"/>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48"/>
      <w:szCs w:val="48"/>
      <w:lang w:val="en-US" w:eastAsia="zh-CN" w:bidi="ar-SA"/>
    </w:rPr>
  </w:style>
  <w:style w:type="paragraph" w:customStyle="1" w:styleId="104">
    <w:name w:val="章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kern w:val="44"/>
      <w:sz w:val="36"/>
      <w:szCs w:val="36"/>
      <w:lang w:val="en-US" w:eastAsia="zh-CN" w:bidi="ar-SA"/>
    </w:rPr>
  </w:style>
  <w:style w:type="paragraph" w:customStyle="1" w:styleId="105">
    <w:name w:val="节标题"/>
    <w:qFormat/>
    <w:uiPriority w:val="0"/>
    <w:pPr>
      <w:keepNext/>
      <w:keepLines/>
      <w:tabs>
        <w:tab w:val="left" w:pos="0"/>
      </w:tabs>
      <w:adjustRightInd w:val="0"/>
      <w:snapToGrid w:val="0"/>
      <w:spacing w:before="100" w:beforeLines="100" w:line="288" w:lineRule="auto"/>
      <w:jc w:val="center"/>
    </w:pPr>
    <w:rPr>
      <w:rFonts w:ascii="汉仪仿宋简" w:hAnsi="汉仪仿宋简" w:eastAsia="汉仪仿宋简" w:cstheme="minorBidi"/>
      <w:b/>
      <w:bCs/>
      <w:kern w:val="2"/>
      <w:sz w:val="32"/>
      <w:szCs w:val="32"/>
      <w:lang w:val="en-US" w:eastAsia="zh-CN" w:bidi="ar-SA"/>
    </w:rPr>
  </w:style>
  <w:style w:type="paragraph" w:customStyle="1" w:styleId="106">
    <w:name w:val="附录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36"/>
      <w:szCs w:val="36"/>
      <w:lang w:val="en-US" w:eastAsia="zh-CN" w:bidi="ar-SA"/>
    </w:rPr>
  </w:style>
  <w:style w:type="character" w:customStyle="1" w:styleId="107">
    <w:name w:val="摘要"/>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08">
    <w:name w:val="参考文献条目"/>
    <w:basedOn w:val="90"/>
    <w:autoRedefine/>
    <w:qFormat/>
    <w:uiPriority w:val="0"/>
    <w:rPr>
      <w:rFonts w:hint="default" w:ascii="汉仪仿宋简" w:hAnsi="汉仪仿宋简" w:eastAsia="汉仪仿宋简" w:cs="Times New Roman"/>
      <w:sz w:val="21"/>
      <w:szCs w:val="21"/>
      <w:lang w:val="en-US" w:eastAsia="zh-CN"/>
    </w:rPr>
  </w:style>
  <w:style w:type="character" w:customStyle="1" w:styleId="109">
    <w:name w:val="关键词"/>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10">
    <w:name w:val="着重标题"/>
    <w:basedOn w:val="90"/>
    <w:autoRedefine/>
    <w:qFormat/>
    <w:uiPriority w:val="0"/>
    <w:rPr>
      <w:rFonts w:hint="default" w:ascii="汉仪仿宋简" w:hAnsi="汉仪仿宋简" w:eastAsia="汉仪仿宋简" w:cs="Times New Roman"/>
      <w:sz w:val="24"/>
      <w:szCs w:val="24"/>
      <w:lang w:val="en-US" w:eastAsia="zh-CN"/>
    </w:rPr>
  </w:style>
  <w:style w:type="character" w:customStyle="1" w:styleId="111">
    <w:name w:val="HTML 地址 字符"/>
    <w:basedOn w:val="90"/>
    <w:link w:val="41"/>
    <w:qFormat/>
    <w:uiPriority w:val="0"/>
    <w:rPr>
      <w:rFonts w:ascii="汉仪仿宋简" w:hAnsi="汉仪仿宋简" w:eastAsia="汉仪仿宋简"/>
      <w:i/>
      <w:iCs/>
      <w:kern w:val="2"/>
      <w:sz w:val="24"/>
      <w:szCs w:val="24"/>
    </w:rPr>
  </w:style>
  <w:style w:type="character" w:customStyle="1" w:styleId="112">
    <w:name w:val="HTML 预设格式 字符"/>
    <w:basedOn w:val="90"/>
    <w:link w:val="81"/>
    <w:qFormat/>
    <w:uiPriority w:val="0"/>
    <w:rPr>
      <w:rFonts w:ascii="Courier New" w:hAnsi="Courier New" w:eastAsia="汉仪仿宋简" w:cs="Courier New"/>
      <w:kern w:val="2"/>
    </w:rPr>
  </w:style>
  <w:style w:type="paragraph" w:customStyle="1" w:styleId="113">
    <w:name w:val="TOC Heading"/>
    <w:basedOn w:val="3"/>
    <w:next w:val="1"/>
    <w:semiHidden/>
    <w:unhideWhenUsed/>
    <w:qFormat/>
    <w:uiPriority w:val="39"/>
    <w:pPr>
      <w:widowControl w:val="0"/>
      <w:numPr>
        <w:numId w:val="0"/>
      </w:numPr>
      <w:spacing w:before="340" w:beforeLines="50" w:after="330" w:afterLines="50" w:line="578" w:lineRule="auto"/>
      <w:ind w:firstLine="480" w:firstLineChars="200"/>
      <w:jc w:val="both"/>
      <w:outlineLvl w:val="9"/>
    </w:pPr>
    <w:rPr>
      <w:sz w:val="44"/>
      <w:szCs w:val="44"/>
    </w:rPr>
  </w:style>
  <w:style w:type="character" w:customStyle="1" w:styleId="114">
    <w:name w:val="纯文本 字符"/>
    <w:basedOn w:val="90"/>
    <w:link w:val="45"/>
    <w:qFormat/>
    <w:uiPriority w:val="0"/>
    <w:rPr>
      <w:rFonts w:ascii="汉仪仿宋简" w:hAnsi="Courier New" w:cs="Courier New"/>
      <w:kern w:val="2"/>
      <w:sz w:val="24"/>
      <w:szCs w:val="24"/>
    </w:rPr>
  </w:style>
  <w:style w:type="character" w:customStyle="1" w:styleId="115">
    <w:name w:val="电子邮件签名 字符"/>
    <w:basedOn w:val="90"/>
    <w:link w:val="19"/>
    <w:qFormat/>
    <w:uiPriority w:val="0"/>
    <w:rPr>
      <w:rFonts w:ascii="汉仪仿宋简" w:hAnsi="汉仪仿宋简" w:eastAsia="汉仪仿宋简"/>
      <w:kern w:val="2"/>
      <w:sz w:val="24"/>
      <w:szCs w:val="24"/>
    </w:rPr>
  </w:style>
  <w:style w:type="character" w:customStyle="1" w:styleId="116">
    <w:name w:val="宏文本 字符"/>
    <w:basedOn w:val="90"/>
    <w:link w:val="2"/>
    <w:qFormat/>
    <w:uiPriority w:val="0"/>
    <w:rPr>
      <w:rFonts w:ascii="Courier New" w:hAnsi="Courier New" w:eastAsia="宋体" w:cs="Courier New"/>
      <w:kern w:val="2"/>
      <w:sz w:val="24"/>
      <w:szCs w:val="24"/>
    </w:rPr>
  </w:style>
  <w:style w:type="character" w:customStyle="1" w:styleId="117">
    <w:name w:val="结束语 字符"/>
    <w:basedOn w:val="90"/>
    <w:link w:val="32"/>
    <w:qFormat/>
    <w:uiPriority w:val="0"/>
    <w:rPr>
      <w:rFonts w:ascii="汉仪仿宋简" w:hAnsi="汉仪仿宋简" w:eastAsia="汉仪仿宋简"/>
      <w:kern w:val="2"/>
      <w:sz w:val="24"/>
      <w:szCs w:val="24"/>
    </w:rPr>
  </w:style>
  <w:style w:type="paragraph" w:styleId="118">
    <w:name w:val="List Paragraph"/>
    <w:basedOn w:val="1"/>
    <w:qFormat/>
    <w:uiPriority w:val="99"/>
    <w:pPr>
      <w:ind w:firstLine="420"/>
    </w:pPr>
  </w:style>
  <w:style w:type="paragraph" w:styleId="119">
    <w:name w:val="Intense Quote"/>
    <w:basedOn w:val="1"/>
    <w:next w:val="1"/>
    <w:link w:val="120"/>
    <w:qFormat/>
    <w:uiPriority w:val="99"/>
    <w:pPr>
      <w:pBdr>
        <w:top w:val="single" w:color="C10230" w:themeColor="accent1" w:sz="4" w:space="10"/>
        <w:bottom w:val="single" w:color="C10230" w:themeColor="accent1" w:sz="4" w:space="10"/>
      </w:pBdr>
      <w:spacing w:before="360" w:after="360"/>
      <w:ind w:left="864" w:right="864"/>
      <w:jc w:val="center"/>
    </w:pPr>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0">
    <w:name w:val="明显引用 字符"/>
    <w:basedOn w:val="90"/>
    <w:link w:val="119"/>
    <w:qFormat/>
    <w:uiPriority w:val="99"/>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1">
    <w:name w:val="日期 字符"/>
    <w:link w:val="50"/>
    <w:qFormat/>
    <w:uiPriority w:val="0"/>
    <w:rPr>
      <w:rFonts w:ascii="汉仪仿宋简" w:hAnsi="汉仪仿宋简" w:eastAsia="汉仪仿宋简" w:cstheme="minorBidi"/>
      <w:b/>
      <w:kern w:val="2"/>
      <w:sz w:val="28"/>
      <w:szCs w:val="24"/>
      <w:lang w:val="en-US" w:eastAsia="zh-CN" w:bidi="ar-SA"/>
    </w:rPr>
  </w:style>
  <w:style w:type="paragraph" w:customStyle="1" w:styleId="122">
    <w:name w:val="Bibliography"/>
    <w:basedOn w:val="1"/>
    <w:next w:val="1"/>
    <w:semiHidden/>
    <w:unhideWhenUsed/>
    <w:qFormat/>
    <w:uiPriority w:val="37"/>
  </w:style>
  <w:style w:type="character" w:customStyle="1" w:styleId="123">
    <w:name w:val="文档结构图 字符"/>
    <w:basedOn w:val="90"/>
    <w:link w:val="26"/>
    <w:qFormat/>
    <w:uiPriority w:val="0"/>
    <w:rPr>
      <w:rFonts w:ascii="Microsoft YaHei UI" w:hAnsi="汉仪仿宋简" w:eastAsia="Microsoft YaHei UI"/>
      <w:kern w:val="2"/>
      <w:sz w:val="18"/>
      <w:szCs w:val="18"/>
    </w:rPr>
  </w:style>
  <w:style w:type="paragraph" w:styleId="124">
    <w:name w:val="No Spacing"/>
    <w:qFormat/>
    <w:uiPriority w:val="99"/>
    <w:pPr>
      <w:widowControl w:val="0"/>
      <w:adjustRightInd w:val="0"/>
      <w:snapToGrid w:val="0"/>
      <w:spacing w:beforeLines="50" w:afterLines="50"/>
      <w:ind w:firstLine="480" w:firstLineChars="200"/>
      <w:jc w:val="both"/>
    </w:pPr>
    <w:rPr>
      <w:rFonts w:ascii="汉仪仿宋简" w:hAnsi="汉仪仿宋简" w:eastAsia="汉仪仿宋简" w:cstheme="minorBidi"/>
      <w:kern w:val="2"/>
      <w:sz w:val="24"/>
      <w:szCs w:val="24"/>
      <w:lang w:val="en-US" w:eastAsia="zh-CN" w:bidi="ar-SA"/>
    </w:rPr>
  </w:style>
  <w:style w:type="character" w:customStyle="1" w:styleId="125">
    <w:name w:val="信息标题 字符"/>
    <w:basedOn w:val="90"/>
    <w:link w:val="80"/>
    <w:qFormat/>
    <w:uiPriority w:val="0"/>
    <w:rPr>
      <w:rFonts w:ascii="汉仪中宋简" w:hAnsi="汉仪中宋简" w:eastAsia="汉仪中宋简" w:cstheme="majorBidi"/>
      <w:kern w:val="2"/>
      <w:sz w:val="24"/>
      <w:szCs w:val="24"/>
      <w:shd w:val="pct20" w:color="auto" w:fill="auto"/>
    </w:rPr>
  </w:style>
  <w:style w:type="paragraph" w:styleId="126">
    <w:name w:val="Quote"/>
    <w:basedOn w:val="1"/>
    <w:next w:val="1"/>
    <w:link w:val="127"/>
    <w:qFormat/>
    <w:uiPriority w:val="99"/>
    <w:pPr>
      <w:spacing w:before="200" w:after="160"/>
      <w:ind w:left="864" w:right="864"/>
      <w:jc w:val="center"/>
    </w:pPr>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7">
    <w:name w:val="引用 字符"/>
    <w:basedOn w:val="90"/>
    <w:link w:val="126"/>
    <w:qFormat/>
    <w:uiPriority w:val="99"/>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8">
    <w:name w:val="正文文本 2 字符"/>
    <w:basedOn w:val="90"/>
    <w:link w:val="77"/>
    <w:qFormat/>
    <w:uiPriority w:val="0"/>
    <w:rPr>
      <w:rFonts w:ascii="汉仪仿宋简" w:hAnsi="汉仪仿宋简" w:eastAsia="汉仪仿宋简"/>
      <w:kern w:val="2"/>
      <w:sz w:val="24"/>
      <w:szCs w:val="24"/>
    </w:rPr>
  </w:style>
  <w:style w:type="character" w:customStyle="1" w:styleId="129">
    <w:name w:val="正文文本 3 字符"/>
    <w:basedOn w:val="90"/>
    <w:link w:val="31"/>
    <w:qFormat/>
    <w:uiPriority w:val="0"/>
    <w:rPr>
      <w:rFonts w:ascii="汉仪仿宋简" w:hAnsi="汉仪仿宋简" w:eastAsia="汉仪仿宋简"/>
      <w:kern w:val="2"/>
      <w:sz w:val="16"/>
      <w:szCs w:val="16"/>
    </w:rPr>
  </w:style>
  <w:style w:type="character" w:customStyle="1" w:styleId="130">
    <w:name w:val="正文文本 字符"/>
    <w:basedOn w:val="90"/>
    <w:link w:val="34"/>
    <w:qFormat/>
    <w:uiPriority w:val="0"/>
    <w:rPr>
      <w:rFonts w:ascii="汉仪仿宋简" w:hAnsi="汉仪仿宋简" w:eastAsia="汉仪仿宋简"/>
      <w:sz w:val="24"/>
      <w:szCs w:val="24"/>
    </w:rPr>
  </w:style>
  <w:style w:type="character" w:customStyle="1" w:styleId="131">
    <w:name w:val="正文文本首行缩进 字符"/>
    <w:basedOn w:val="130"/>
    <w:link w:val="86"/>
    <w:qFormat/>
    <w:uiPriority w:val="0"/>
    <w:rPr>
      <w:rFonts w:ascii="汉仪仿宋简" w:hAnsi="汉仪仿宋简" w:eastAsia="汉仪仿宋简"/>
      <w:kern w:val="2"/>
      <w:sz w:val="24"/>
      <w:szCs w:val="24"/>
    </w:rPr>
  </w:style>
  <w:style w:type="character" w:customStyle="1" w:styleId="132">
    <w:name w:val="正文文本缩进 字符"/>
    <w:basedOn w:val="90"/>
    <w:link w:val="35"/>
    <w:qFormat/>
    <w:uiPriority w:val="0"/>
    <w:rPr>
      <w:rFonts w:ascii="汉仪仿宋简" w:hAnsi="汉仪仿宋简" w:eastAsia="汉仪仿宋简"/>
      <w:kern w:val="2"/>
      <w:sz w:val="24"/>
      <w:szCs w:val="24"/>
    </w:rPr>
  </w:style>
  <w:style w:type="character" w:customStyle="1" w:styleId="133">
    <w:name w:val="正文文本首行缩进 2 字符"/>
    <w:basedOn w:val="132"/>
    <w:link w:val="87"/>
    <w:qFormat/>
    <w:uiPriority w:val="0"/>
    <w:rPr>
      <w:rFonts w:ascii="汉仪仿宋简" w:hAnsi="汉仪仿宋简" w:eastAsia="汉仪仿宋简"/>
      <w:kern w:val="2"/>
      <w:sz w:val="24"/>
      <w:szCs w:val="24"/>
    </w:rPr>
  </w:style>
  <w:style w:type="character" w:customStyle="1" w:styleId="134">
    <w:name w:val="正文文本缩进 2 字符"/>
    <w:basedOn w:val="90"/>
    <w:link w:val="52"/>
    <w:qFormat/>
    <w:uiPriority w:val="0"/>
    <w:rPr>
      <w:rFonts w:ascii="汉仪仿宋简" w:hAnsi="汉仪仿宋简" w:eastAsia="汉仪仿宋简"/>
      <w:kern w:val="2"/>
      <w:sz w:val="24"/>
      <w:szCs w:val="24"/>
    </w:rPr>
  </w:style>
  <w:style w:type="character" w:customStyle="1" w:styleId="135">
    <w:name w:val="正文文本缩进 3 字符"/>
    <w:basedOn w:val="90"/>
    <w:link w:val="71"/>
    <w:qFormat/>
    <w:uiPriority w:val="0"/>
    <w:rPr>
      <w:rFonts w:ascii="汉仪仿宋简" w:hAnsi="汉仪仿宋简" w:eastAsia="汉仪仿宋简"/>
      <w:kern w:val="2"/>
      <w:sz w:val="16"/>
      <w:szCs w:val="16"/>
    </w:rPr>
  </w:style>
  <w:style w:type="character" w:customStyle="1" w:styleId="136">
    <w:name w:val="注释标题 字符"/>
    <w:basedOn w:val="90"/>
    <w:link w:val="16"/>
    <w:qFormat/>
    <w:uiPriority w:val="0"/>
    <w:rPr>
      <w:rFonts w:ascii="汉仪仿宋简" w:hAnsi="汉仪仿宋简" w:eastAsia="汉仪仿宋简"/>
      <w:kern w:val="2"/>
      <w:sz w:val="24"/>
      <w:szCs w:val="24"/>
    </w:rPr>
  </w:style>
  <w:style w:type="character" w:customStyle="1" w:styleId="137">
    <w:name w:val="页脚 字符"/>
    <w:link w:val="56"/>
    <w:qFormat/>
    <w:uiPriority w:val="0"/>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自定义 732">
      <a:dk1>
        <a:srgbClr val="000000"/>
      </a:dk1>
      <a:lt1>
        <a:srgbClr val="FFFFFF"/>
      </a:lt1>
      <a:dk2>
        <a:srgbClr val="44546A"/>
      </a:dk2>
      <a:lt2>
        <a:srgbClr val="E7E6E6"/>
      </a:lt2>
      <a:accent1>
        <a:srgbClr val="C10230"/>
      </a:accent1>
      <a:accent2>
        <a:srgbClr val="F19615"/>
      </a:accent2>
      <a:accent3>
        <a:srgbClr val="FFC700"/>
      </a:accent3>
      <a:accent4>
        <a:srgbClr val="2C88FF"/>
      </a:accent4>
      <a:accent5>
        <a:srgbClr val="98624F"/>
      </a:accent5>
      <a:accent6>
        <a:srgbClr val="788D4B"/>
      </a:accent6>
      <a:hlink>
        <a:srgbClr val="0026E5"/>
      </a:hlink>
      <a:folHlink>
        <a:srgbClr val="7E1FAD"/>
      </a:folHlink>
    </a:clrScheme>
    <a:fontScheme name="自定义 127">
      <a:majorFont>
        <a:latin typeface="汉仪中宋简"/>
        <a:ea typeface="汉仪中宋简"/>
        <a:cs typeface=""/>
      </a:majorFont>
      <a:minorFont>
        <a:latin typeface="汉仪仿宋简"/>
        <a:ea typeface="汉仪仿宋简"/>
        <a:cs typeface=""/>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4097"/>
  </customShpExts>
  <s:tags>
    <s:tag s:spid="_x0000_s1026">
      <s:item s:name="docerheaderfootertag" s:val="header"/>
      <s:item s:name="docerheaderfootertag" s:val="pagenumfooter"/>
      <s:item s:name="docerheaderfootertag" s:val="footer"/>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1305</Words>
  <Characters>1481</Characters>
  <Lines>0</Lines>
  <Paragraphs>0</Paragraphs>
  <TotalTime>2471</TotalTime>
  <ScaleCrop>false</ScaleCrop>
  <LinksUpToDate>false</LinksUpToDate>
  <CharactersWithSpaces>1497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2025-02-21T03:10:00Z</dcterms:created>
  <dc:creator>Answer</dc:creator>
  <cp:lastModifiedBy>蓝色思念</cp:lastModifiedBy>
  <dcterms:modified xsi:type="dcterms:W3CDTF">2026-02-05T01:36:50Z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E3A2CFCF105446379A9C566E0C661B90_13</vt:lpwstr>
  </property>
  <property fmtid="{D5CDD505-2E9C-101B-9397-08002B2CF9AE}" pid="4" name="KSOTemplateDocerSaveRecord">
    <vt:lpwstr>eyJoZGlkIjoiNWVlNjFhN2ViMDkyMjU2YTRhYmFiNzNhM2VmOTdkODMiLCJ1c2VySWQiOiIyNzMwNDgzMDEifQ==</vt:lpwstr>
  </property>
</Properties>
</file>